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AMRX</w:t>
      </w:r>
      <w:r>
        <w:rPr>
          <w:rFonts w:ascii="Calibri" w:hAnsi="Calibri"/>
          <w:b/>
          <w:color w:val="1A2010"/>
          <w:sz w:val="40"/>
        </w:rPr>
        <w:t xml:space="preserve">  Amneal Pharmaceuticals, Inc.</w:t>
      </w:r>
    </w:p>
    <w:p>
      <w:pPr>
        <w:spacing w:after="120"/>
      </w:pPr>
      <w:r>
        <w:rPr>
          <w:rFonts w:ascii="Calibri" w:hAnsi="Calibri"/>
          <w:b/>
          <w:color w:val="6E8450"/>
          <w:sz w:val="18"/>
        </w:rPr>
        <w:t>GROWTH SLEEVE · 2026-04-12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Amneal Pharmaceuticals develops, manufactures, and distributes generic and specialty pharmaceuticals, including complex generics and biosimilars, across three segments: Affordable Medicines (generics), Specialty (branded CNS-focused products like CREXONT for Parkinson's and UNITHROID), and AvKARE (government distribution).</w:t>
      </w:r>
    </w:p>
    <w:p>
      <w:r>
        <w:rPr>
          <w:rFonts w:ascii="Calibri" w:hAnsi="Calibri"/>
          <w:b/>
          <w:color w:val="6E8450"/>
          <w:sz w:val="18"/>
        </w:rPr>
        <w:t>6,900 Employees · https://www.amneal.com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Amneal delivered its sixth consecutive year of revenue growth in 2025, reaching $3.02B (+8% YoY), with Q4 revenue of $814M (+11%). The Specialty segment grew 19% and CREXONT (Parkinson's) and UNITHROID drove 38% Q4 Specialty growth — a genuine branded-drug franchise expansion beyond commodity generics [1]. AI Deployment (1/2): Amneal is implementing enterprise AI strategies with pharma-engineering published playbooks on auditable pipeline-first AI — early-stage with no product-level AI revenue [2]. Market Share (1/2): Amneal is a meaningful top-5 U.S. generic player with a growing Specialty franchise; strong in complex generics and injectables but not a dominant category leader. Pipeline (1/2): 2026 guidance of $3.05-$3.15B revenue (only 1-4% growth) and $720-$760M adjusted EBITDA; growing Specialty franchise via CREXONT, biosimilars pipeline, and recently launched glaucoma generic [1][2]. R&amp;D Intensity (0/1): R&amp;D as a percent of revenue is typical for generics industry, not above-quartile.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Amneal's mission of 'broadening access to affordable medicines' is clear and industry-appropriate for a generics-focused company, though not distinctive vs. peers like Teva or Viatris [2]. Community Impact (1/2): Providing affordable generics has measurable public-health impact; company supports access programs and patient-assistance but no standout foundation-level philanthropy [2]. Employee Retention (0/2): Glassdoor characterizes leadership as a 'cult of personality' with the two co-CEOs (Chirag and Chintu Patel) centralizing decisions — mixed reviews and structural concern about concentrated leadership culture [2]. Insider Buying (0/2): The Patel family maintains controlling ownership via dual-class structure but no notable net insider buying in the last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Amneal is a turnaround story with mixed infrastructure. 2025 revenue of $3.02B (+8%) with 6th consecutive year of growth and adjusted EBITDA of $688M shows operational improvement [1]. GAAP net income returned to $72M ($0.22 diluted EPS) vs prior losses; adjusted diluted EPS of $0.83 and 2026 guidance of $0.93-$1.03 implies ~15-20% EPS growth [1]. However, debt/equity remains very elevated (historically over 500%+) from 2018 Impax merger legacy, and GAAP P/E near 60x vs. forward P/E near 8-10x shows a gap between reported and adjusted economics [3]. Profit margins ~2% GAAP, low-teens adjusted. Revenue growth of only 1-4% guided for 2026 is modest [1]. Liquidity adequate (AMRX trades ~2M+ shares/day × low-single-digit stock price — close to but clears the $1M floor). No dividend.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Amneal plays a mixed game — consistent 6-year revenue growth and a genuine Specialty pivot (CREXONT, UNITHROID) show long-term orientation, but the Patel-family 'cult of personality' dual-CEO structure, high legacy debt, and a pattern of FDA manufacturing warning letters indicate governance and operational issues that weigh against infinite-game excellence.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'Broadening access to affordable medicines' is a clear, industry-relevant cause tied to public-health impact but is shallow relative to Sinek's bar and is interchangeable with any generics-maker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'cult of personality' with the two co-CEOs centralizing decisions; compensation/benefits rated 3.5/5 — low-trust signal relative to Sinek's Circle of Safety framework [2]. Some positive reviews on training/advancement but concentrated leadership is a structural issue.</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Amneal competes with Teva, Viatris, Sandoz, and Dr. Reddy's in generics and acknowledges the generic pricing dynamic; pursues differentiation through complex generics and Specialty rather than direct 'crush rivals' posture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Amneal has evolved from a pure generics player into a three-segment business (Affordable Medicines, Specialty, AvKARE) with Specialty growing 19% in 2025 and branded franchises like CREXONT driving higher-margin growth — meaningful business-model transformation post 2018 Impax combination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in CREXONT development and Specialty buildout while carrying high legacy debt shows some courage, but the continuing FDA warning letters and manufacturing recalls (August 2025 warning letter linked to vancomycin and ropivacaine recalls) suggest inadequate investment in manufacturing quality infrastructure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Amneal Pharmaceuticals is a turnaround specialty-generics story that delivered its sixth consecutive year of revenue growth in 2025, reaching $3.02B (+8%) with Q4 revenue of $814M (+11%) and adjusted EBITDA of $688M for the full year [1]. The Specialty segment grew 19% led by CREXONT for Parkinson's disease and UNITHROID, with Q4 Specialty up 38% — a genuine pivot from commodity generics into higher-margin branded therapeutics [1]. 2026 guidance calls for revenue of $3.05-$3.15B, adjusted EBITDA of $720-$760M, and adjusted diluted EPS of $0.93-$1.03 (15-20% EPS growth) [1]. The stock trades at high GAAP P/E (~60x) but forward P/E near 10x on adjusted earnings, giving the business optionality if the Specialty growth continues and deleveraging progresses.</w:t>
      </w:r>
    </w:p>
    <w:p>
      <w:pPr>
        <w:spacing w:after="120"/>
      </w:pPr>
      <w:r>
        <w:rPr>
          <w:rFonts w:ascii="Calibri" w:hAnsi="Calibri"/>
          <w:b w:val="0"/>
          <w:color w:val="3A4A28"/>
          <w:sz w:val="20"/>
        </w:rPr>
        <w:t>The bear case is substantial. In August 2025, the FDA issued Amneal a warning letter tied to manufacturing deficiencies underlying recent recalls of vancomycin, ropivacaine, magnesium sulfate, and sulfamethoxazole/trimethoprim products — signaling persistent quality-system issues and potential facility action [3]. Legacy debt from the 2018 Impax combination keeps debt/equity elevated well above the Infrastructure floor. 2026 revenue guidance of only 1-4% growth is modest and suggests Specialty acceleration is needed to re-rate the stock. Governance concerns persist around the Patel-family dual-CEO 'cult of personality' culture cited in Glassdoor reviews [2]. Faith alignment is MISALIGNED (-62) per Inspire Insight due to Abortifacients attribution (oral contraceptives/emergency contraception in generic portfolio). Overall 51 = WATCH — potential turnaround but real operational, governance, and faith-alignment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Specialty segment growth led by CREXONT (Parkinson's) and UNITHROID with Q4 2025 Specialty revenue up 38% — continued high-growth branded franchise development [1]</w:t>
      </w:r>
    </w:p>
    <w:p>
      <w:pPr>
        <w:spacing w:before="40" w:after="40"/>
        <w:ind w:left="283"/>
      </w:pPr>
      <w:r>
        <w:rPr>
          <w:rFonts w:ascii="Calibri" w:hAnsi="Calibri"/>
          <w:b/>
          <w:color w:val="4A6B25"/>
          <w:sz w:val="20"/>
        </w:rPr>
        <w:t xml:space="preserve">2. </w:t>
      </w:r>
      <w:r>
        <w:rPr>
          <w:rFonts w:ascii="Calibri" w:hAnsi="Calibri"/>
          <w:b w:val="0"/>
          <w:color w:val="3A4A28"/>
          <w:sz w:val="20"/>
        </w:rPr>
        <w:t>2026 adjusted diluted EPS guidance of $0.93-$1.03 (15-20% growth) and deleveraging progress from $688M-$760M adjusted EBITDA cash generation [1]</w:t>
      </w:r>
    </w:p>
    <w:p>
      <w:pPr>
        <w:spacing w:before="40" w:after="40"/>
        <w:ind w:left="283"/>
      </w:pPr>
      <w:r>
        <w:rPr>
          <w:rFonts w:ascii="Calibri" w:hAnsi="Calibri"/>
          <w:b/>
          <w:color w:val="4A6B25"/>
          <w:sz w:val="20"/>
        </w:rPr>
        <w:t xml:space="preserve">3. </w:t>
      </w:r>
      <w:r>
        <w:rPr>
          <w:rFonts w:ascii="Calibri" w:hAnsi="Calibri"/>
          <w:b w:val="0"/>
          <w:color w:val="3A4A28"/>
          <w:sz w:val="20"/>
        </w:rPr>
        <w:t>Biosimilars and complex generics pipeline — recently launched glaucoma generic expands the differentiated portfolio beyond commodity generics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FDA warning letter (August 2025) tied to persistent manufacturing quality issues with recalls of vancomycin, ropivacaine, magnesium sulfate, sulfamethoxazole/trimethoprim — risk of facility action or further product holds [3]</w:t>
      </w:r>
    </w:p>
    <w:p>
      <w:pPr>
        <w:spacing w:before="40" w:after="40"/>
        <w:ind w:left="283"/>
      </w:pPr>
      <w:r>
        <w:rPr>
          <w:rFonts w:ascii="Calibri" w:hAnsi="Calibri"/>
          <w:b/>
          <w:color w:val="4A6B25"/>
          <w:sz w:val="20"/>
        </w:rPr>
        <w:t xml:space="preserve">2. </w:t>
      </w:r>
      <w:r>
        <w:rPr>
          <w:rFonts w:ascii="Calibri" w:hAnsi="Calibri"/>
          <w:b w:val="0"/>
          <w:color w:val="3A4A28"/>
          <w:sz w:val="20"/>
        </w:rPr>
        <w:t>Elevated legacy debt from 2018 Impax merger keeps debt/equity near Infrastructure floor and constrains capital allocation flexibility [1]</w:t>
      </w:r>
    </w:p>
    <w:p>
      <w:pPr>
        <w:spacing w:before="40" w:after="40"/>
        <w:ind w:left="283"/>
      </w:pPr>
      <w:r>
        <w:rPr>
          <w:rFonts w:ascii="Calibri" w:hAnsi="Calibri"/>
          <w:b/>
          <w:color w:val="4A6B25"/>
          <w:sz w:val="20"/>
        </w:rPr>
        <w:t xml:space="preserve">3. </w:t>
      </w:r>
      <w:r>
        <w:rPr>
          <w:rFonts w:ascii="Calibri" w:hAnsi="Calibri"/>
          <w:b w:val="0"/>
          <w:color w:val="3A4A28"/>
          <w:sz w:val="20"/>
        </w:rPr>
        <w:t>Modest 2026 revenue guidance of only 1-4% growth combined with governance concerns about Patel-family dual-CEO structure and Glassdoor 'cult of personality' culture risk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Generic and specialty pharmaceutical manufacturing is a physical, FDA-regulated process that AI cannot replace — drug formulation, GMP manufacturing, and regulatory approval are deeply regulated activities with structural AI immunity [2]. AI may even improve generic drug discovery, bioequivalence modeling, and manufacturing process optimization. However, Amneal's recent FDA warning letter (August 2025) and series of recalls (magnesium sulfate, sulfamethoxazole/trimethoprim, ropivacaine, vancomycin) indicate manufacturing quality issues are the real risk, not AI [3]. AI Opportunity (0/1): Amneal uses AI internally for pipeline decisions and manufacturing optimization but does not disclose material AI-linked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Amneal Pharmaceuticals Q4 2025 and Full Year 2025 Earnings Release — $3.02B revenue (+8%), $688M adj EBITDA, 2026 guidance $3.05-$3.15B revenue, $0.93-$1.03 adj EPS, February 27, 2026</w:t>
      </w:r>
    </w:p>
    <w:p>
      <w:pPr>
        <w:spacing w:before="20" w:after="20"/>
        <w:ind w:left="170"/>
      </w:pPr>
      <w:r>
        <w:rPr>
          <w:rFonts w:ascii="Calibri" w:hAnsi="Calibri"/>
          <w:b/>
          <w:color w:val="4A6B25"/>
          <w:sz w:val="15"/>
        </w:rPr>
        <w:t xml:space="preserve">2. </w:t>
      </w:r>
      <w:r>
        <w:rPr>
          <w:rFonts w:ascii="Calibri" w:hAnsi="Calibri"/>
          <w:b w:val="0"/>
          <w:color w:val="3A4A28"/>
          <w:sz w:val="17"/>
        </w:rPr>
        <w:t>Amneal leadership page (Chirag Patel CEO), Glassdoor reviews, 'pipeline-first' enterprise AI strategy coverage, CREXONT and Specialty segment disclosures</w:t>
      </w:r>
    </w:p>
    <w:p>
      <w:pPr>
        <w:spacing w:before="20" w:after="20"/>
        <w:ind w:left="170"/>
      </w:pPr>
      <w:r>
        <w:rPr>
          <w:rFonts w:ascii="Calibri" w:hAnsi="Calibri"/>
          <w:b/>
          <w:color w:val="4A6B25"/>
          <w:sz w:val="15"/>
        </w:rPr>
        <w:t xml:space="preserve">3. </w:t>
      </w:r>
      <w:r>
        <w:rPr>
          <w:rFonts w:ascii="Calibri" w:hAnsi="Calibri"/>
          <w:b w:val="0"/>
          <w:color w:val="3A4A28"/>
          <w:sz w:val="17"/>
        </w:rPr>
        <w:t>FDA Warning Letter (August 27, 2025) to Amneal Pharmaceuticals LLC tied to manufacturing quality issues and recalls of vancomycin, ropivacaine, magnesium sulfate, sulfamethoxazole/trimethoprim (fda.gov)</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estimates for AMRX (Amneal Pharmaceuticals), retrieved April 12,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