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AMSC</w:t>
      </w:r>
      <w:r>
        <w:rPr>
          <w:rFonts w:ascii="Calibri" w:hAnsi="Calibri"/>
          <w:b/>
          <w:color w:val="1A2010"/>
          <w:sz w:val="40"/>
        </w:rPr>
        <w:t xml:space="preserve">  American Superconductor Corporation</w:t>
      </w:r>
    </w:p>
    <w:p>
      <w:pPr>
        <w:spacing w:after="120"/>
      </w:pPr>
      <w:r>
        <w:rPr>
          <w:rFonts w:ascii="Calibri" w:hAnsi="Calibri"/>
          <w:b/>
          <w:color w:val="6E8450"/>
          <w:sz w:val="18"/>
        </w:rPr>
        <w:t>GROWTH SLEEVE · 2026-05-04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American Superconductor Corporation provides megawatt-scale power resiliency solutions worldwide through its Grid and Wind segments. The Grid segment offers transmission planning, grid interconnection solutions, D-VAR reactive compensation systems, ship protection systems, and power electronics. The Wind segment designs and licenses wind turbine systems. Founded in 1987, AMSC is a key beneficiary of AI-driven power demand growth.</w:t>
      </w:r>
    </w:p>
    <w:p>
      <w:r>
        <w:rPr>
          <w:rFonts w:ascii="Calibri" w:hAnsi="Calibri"/>
          <w:b/>
          <w:color w:val="6E8450"/>
          <w:sz w:val="18"/>
        </w:rPr>
        <w:t>569 Employees · https://www.amsc.com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AMSC has successfully pivoted from a pure superconductor company to a diversified power resiliency platform, with revenue growing 206% over the past five years to $279M in the trailing twelve months [1]. The Grid segment's D-VAR systems and ship protection products represent meaningful market-creating innovation, and the company has capitalized on the AI data center power demand surge. AI Deployment (1/2): AMSC is not directly deploying AI in its products, but its grid stabilization technology is essential infrastructure enabling AI data center buildouts — the company is an indirect AI beneficiary with measurable demand growth from AI-driven power requirements [2]. Market Share (1/2): AMSC holds meaningful positions in naval ship protection systems and grid reactive compensation, but faces competition from larger players like Siemens and ABB in the broader grid infrastructure market [3]. Pipeline (1/2): Q4 guidance exceeds $80M revenue with 12-month backlog exceeding $250M, providing solid near-term visibility [1]. R&amp;D Intensity (1/1): R&amp;D spending is meaningful relative to AMSC's size, supporting next-generation superconductor wire and grid solutions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AMSC's stated purpose is 'using future-facing technologies to harmonize the world's desire for decarbonization and clean energy with the need for more reliable, effective and efficient power delivery' [3]. This is clear and identifies a meaningful societal problem (grid reliability + clean energy) but is not yet distinctive enough to be transformative. Community Impact (1/2): AMSC's products directly contribute to grid reliability and renewable energy integration, providing indirect community benefit, but no specific charitable programs or foundation initiatives were found [3]. Employee Retention (1/2): Glassdoor reviews show 77% of employees would recommend AMSC to a friend, with employees citing 'fascinating technology' and 'amazing workplace culture,' though some note concerns about career development and senior leadership [2]. Insider Buying (1/2): CEO Daniel McGahn has been with the company since 2006 and CEO since 2011 — 15-year tenure shows long-term conviction. No specific insider purchase data found in recent filings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AMSC's financial profile is exceptionally strong on most metrics. D/E of just 2.1% with $141M cash against $11.4M debt reflects a fortress balance sheet [4]. ROE of 35.8% and trailing P/E of 17.3x are excellent, though the 46.7% profit margin is inflated by non-cash items (Q3 EPS spike to $2.68 included non-cash gains) [1][4]. Revenue growth of 21.4% YoY with TTM revenue of $279M and a 12-month backlog exceeding $250M provides growth visibility. Forward P/E of 49.7x is elevated, reflecting market optimism around AI power demand, but forward PEG of 0.74 suggests reasonable growth-adjusted valuation [4]. Gross margins above 30% for three consecutive quarters show improving operational leverage. Liquidity floor easily cleared: 1.26M avg volume x $52.51 = $66.2M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AMSC demonstrates meaningful infinite game characteristics under CEO Daniel McGahn's 15-year leadership, having survived the devastating Sinovel IP theft in 2011 (losing 84% of market cap) and rebuilding into a diversified power resiliency company. The company's mission around grid reliability and clean energy provides purpose beyond quarterly earnings, though competitive language sometimes veers toward market share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AMSC's mission to harmonize decarbonization with reliable power delivery is specific and connects the company's work to a genuine societal need [3]. The company's 39-year history since 1987 shows long-term commitment to superconductor and grid technology. The mission has guided strategic decisions — pivoting from pure superconductor research to practical grid solutions — but hasn't yet been tested through the kind of multi-decade consistency that earns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The 77% Glassdoor recommendation rate with employees citing 'amazing workplace culture' and 'fascinating technology' is positive [2]. CEO McGahn's 15-year tenure from VP to CEO creates leadership continuity. However, some Glassdoor reviews note concerns about senior leadership and career development, and the 569-employee company has limited organizational depth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AMSC's competitive posture acknowledges strengths of larger rivals like Siemens and ABB while focusing on its own differentiated capabilities in superconductor technology and reactive compensation [3]. The company's response to the Sinovel IP theft — rebuilding through diversification rather than solely pursuing litigation — demonstrates a focus on self-improvement over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AMSC evolved significantly from a pure superconductor research company to a practical grid solutions and wind turbine design company [3]. The pivot accelerated after the 2011 Sinovel crisis, when the company diversified from wind-dominated revenue to a more balanced grid/wind portfolio. The recent embrace of AI-driven power demand as a growth driver shows continued adaptability, though these were incremental rather than transformative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CEO McGahn steered AMSC through the existential Sinovel crisis when the company lost its largest customer and 84% of market cap due to IP theft [3]. Rather than cutting R&amp;D and retreating, management continued investing in grid technology and pursued legal action against Sinovel while diversifying the business. Maintaining heavy R&amp;D investment during years of losses took genuine conviction in the long-term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Superconductor is a compelling power infrastructure play positioned at the intersection of grid modernization, clean energy transition, and AI data center buildout. Revenue of $279M (TTM) grew 21.4% YoY with a 12-month backlog exceeding $250M, and Q4 guidance of $80M+ revenue suggests continued acceleration [1]. The balance sheet is a fortress with D/E of just 2.1%, $141M cash, and ROE of 35.8% [4]. Gross margins above 30% for three consecutive quarters demonstrate improving operational leverage, and forward PEG of 0.74 suggests the stock is reasonably valued for its growth trajectory [4]. The company is a direct beneficiary of AI infrastructure spending — analysts have identified AMSC as a 'bottleneck play' for AI power demand, and the stock surged 58.2% in April 2026 on this thesis [2].</w:t>
      </w:r>
    </w:p>
    <w:p>
      <w:pPr>
        <w:spacing w:after="120"/>
      </w:pPr>
      <w:r>
        <w:rPr>
          <w:rFonts w:ascii="Calibri" w:hAnsi="Calibri"/>
          <w:b w:val="0"/>
          <w:color w:val="3A4A28"/>
          <w:sz w:val="20"/>
        </w:rPr>
        <w:t>The bear case centers on valuation sustainability and earnings quality. Forward P/E of 49.7x is rich for an industrial company, pricing in years of sustained growth that may not materialize if AI data center buildout slows [4]. The Q3 EPS spike to $2.68 was driven partly by non-cash items, and trailing profit margin of 46.7% is likely unsustainable — operating margins of just 6.2% reveal the underlying operating leverage challenge [1][4]. Revenue of $279M is still small-cap territory, and the company's 569 employees create key-person and execution risk. The Sinovel IP theft in 2011 demonstrated vulnerability to customer concentration and trade secrets risk. Competition from Siemens, ABB, and other larger industrial players limits AMSC's pricing power in the broader grid market. Free cash flow remains slightly negative at -$8.9M despite reaching FCF positive status recently, suggesting the profitability inflection point is still fragile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creating sustained multi-year demand for AMSC's grid stabilization and reactive compensation solutions, with $250M+ backlog providing near-term visibility [1][2]</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above 30% for three consecutive quarters signals improving operational leverage as revenue scales past $300M annually [1]</w:t>
      </w:r>
    </w:p>
    <w:p>
      <w:pPr>
        <w:spacing w:before="40" w:after="40"/>
        <w:ind w:left="283"/>
      </w:pPr>
      <w:r>
        <w:rPr>
          <w:rFonts w:ascii="Calibri" w:hAnsi="Calibri"/>
          <w:b/>
          <w:color w:val="4A6B25"/>
          <w:sz w:val="20"/>
        </w:rPr>
        <w:t xml:space="preserve">3. </w:t>
      </w:r>
      <w:r>
        <w:rPr>
          <w:rFonts w:ascii="Calibri" w:hAnsi="Calibri"/>
          <w:b w:val="0"/>
          <w:color w:val="3A4A28"/>
          <w:sz w:val="20"/>
        </w:rPr>
        <w:t>Naval ship protection and defense contracts providing diversified, counter-cyclical revenue streams with long-term government commitment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49.7x prices in years of sustained growth — any slowdown in AI data center buildout or grid modernization spending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Earnings quality concerns — Q3 EPS spike to $2.68 was partly non-cash, and operating margins of just 6.2% versus reported profit margin of 46.7% suggests underlying profitability is less robust than headline numbers [1][4]</w:t>
      </w:r>
    </w:p>
    <w:p>
      <w:pPr>
        <w:spacing w:before="40" w:after="40"/>
        <w:ind w:left="283"/>
      </w:pPr>
      <w:r>
        <w:rPr>
          <w:rFonts w:ascii="Calibri" w:hAnsi="Calibri"/>
          <w:b/>
          <w:color w:val="4A6B25"/>
          <w:sz w:val="20"/>
        </w:rPr>
        <w:t xml:space="preserve">3. </w:t>
      </w:r>
      <w:r>
        <w:rPr>
          <w:rFonts w:ascii="Calibri" w:hAnsi="Calibri"/>
          <w:b w:val="0"/>
          <w:color w:val="3A4A28"/>
          <w:sz w:val="20"/>
        </w:rPr>
        <w:t>Small-cap execution risk with only 569 employees — customer concentration, key-person dependency, and competition from industrial giants like Siemens and ABB limit pricing power and scalability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AMSC is structurally immune to AI disruption and is in fact a direct beneficiary — AI data centers require massive power infrastructure, and AMSC's grid stabilization, reactive compensation, and power delivery solutions are essential physical infrastructure that AI cannot replace [2]. The company's D-VAR systems, ship protection technology, and superconductor wire involve deep engineering and physical-world manufacturing that is structurally insulated from AI substitution. Analysts have classified AMSC as a 'bottleneck play' for AI infrastructure, citing surging demand tied to artificial intelligence power requirements [2]. The stock jumped 58.2% in April 2026 on AI-driven power demand catalysts. AI Opportunity (1/1): AMSC generates meaningful and growing revenue directly tied to AI infrastructure buildout — the company's grid solutions are required for data center power delivery, and this demand driver is quantifiable in the $250M+ backlog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Simply Wall St — American Superconductor Q3 EPS Spike to $2.68 Fuels Earnings Quality Debate, February 2026</w:t>
      </w:r>
    </w:p>
    <w:p>
      <w:pPr>
        <w:spacing w:before="20" w:after="20"/>
        <w:ind w:left="170"/>
      </w:pPr>
      <w:r>
        <w:rPr>
          <w:rFonts w:ascii="Calibri" w:hAnsi="Calibri"/>
          <w:b/>
          <w:color w:val="4A6B25"/>
          <w:sz w:val="15"/>
        </w:rPr>
        <w:t xml:space="preserve">2. </w:t>
      </w:r>
      <w:r>
        <w:rPr>
          <w:rFonts w:ascii="Calibri" w:hAnsi="Calibri"/>
          <w:b w:val="0"/>
          <w:color w:val="3A4A28"/>
          <w:sz w:val="17"/>
        </w:rPr>
        <w:t>Motley Fool / Yahoo Finance — Why American Superconductor Stock Jumped 58.2% in April on AI Power Demand, May 2026</w:t>
      </w:r>
    </w:p>
    <w:p>
      <w:pPr>
        <w:spacing w:before="20" w:after="20"/>
        <w:ind w:left="170"/>
      </w:pPr>
      <w:r>
        <w:rPr>
          <w:rFonts w:ascii="Calibri" w:hAnsi="Calibri"/>
          <w:b/>
          <w:color w:val="4A6B25"/>
          <w:sz w:val="15"/>
        </w:rPr>
        <w:t xml:space="preserve">3. </w:t>
      </w:r>
      <w:r>
        <w:rPr>
          <w:rFonts w:ascii="Calibri" w:hAnsi="Calibri"/>
          <w:b w:val="0"/>
          <w:color w:val="3A4A28"/>
          <w:sz w:val="17"/>
        </w:rPr>
        <w:t>AMSC Corporate Website — About Us, Mission, and Wikipedia history,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AMSC (American Superconductor),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