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AMTM</w:t>
      </w:r>
      <w:r>
        <w:rPr>
          <w:rFonts w:ascii="Calibri" w:hAnsi="Calibri"/>
          <w:b/>
          <w:color w:val="1A2010"/>
          <w:sz w:val="40"/>
        </w:rPr>
        <w:t xml:space="preserve">  Amentum Holdings, Inc.</w:t>
      </w:r>
    </w:p>
    <w:p>
      <w:pPr>
        <w:spacing w:after="120"/>
      </w:pPr>
      <w:r>
        <w:rPr>
          <w:rFonts w:ascii="Calibri" w:hAnsi="Calibri"/>
          <w:b/>
          <w:color w:val="6E8450"/>
          <w:sz w:val="18"/>
        </w:rPr>
        <w:t>GROWTH SLEEVE · 2026-04-17 · Inspire: 5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Business Services · NYSE · United States</w:t>
      </w:r>
    </w:p>
    <w:p>
      <w:pPr>
        <w:spacing w:after="80"/>
      </w:pPr>
      <w:r>
        <w:rPr>
          <w:rFonts w:ascii="Calibri" w:hAnsi="Calibri"/>
          <w:b w:val="0"/>
          <w:color w:val="3A4A28"/>
          <w:sz w:val="20"/>
        </w:rPr>
        <w:t>Amentum Holdings is a global leader in advanced engineering, technology, and mission-critical government services. Formed in late 2024 through the merger of legacy Amentum (a Jacobs Engineering spinoff) and AECOM's Management Services, the company operates through Digital Solutions (intelligence analytics, cybersecurity, space systems) and Global Engineering Solutions (environmental remediation, nuclear power, platform sustainment, supply chain management) segments serving U.S. government and allied nations.</w:t>
      </w:r>
    </w:p>
    <w:p>
      <w:r>
        <w:rPr>
          <w:rFonts w:ascii="Calibri" w:hAnsi="Calibri"/>
          <w:b/>
          <w:color w:val="6E8450"/>
          <w:sz w:val="18"/>
        </w:rPr>
        <w:t>50,000 Employees · https://www.amentum.com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Amentum completed a transformative merger in late 2024 combining legacy Amentum with AECOM's Management Services, creating a $14B+ revenue government services platform with 50,000 employees and a record $47.2B backlog [1]. The appointment of Dr. Robie I. Samanta Roy as Chief Strategy and Innovation Officer signals strategic focus on technology-driven solutions [2]. AI Deployment (1/2): Amentum's Digital Solutions segment provides intelligence analytics, cybersecurity, and space system development that incorporate AI and machine learning capabilities for government clients, though specific AI revenue figures are not disclosed [1]. Market Share (1/2): Amentum holds meaningful positions in government environmental remediation, nuclear services, and defense sustainment, with $23B in pending awards and book-to-bill tracking above 1.0x, but is not the dominant leader in any single category [1]. Pipeline (1/2): $47.2B backlog and $23B in pending awards provide strong revenue visibility, with key growth in nuclear energy (over $1B in Q1 awards), though specific next-gen product launches are not articulated [1]. R&amp;D Intensity (0/1): As a government services contractor, R&amp;D spending is below average relative to technology peers; innovation is primarily embedded within contract execution rather than standalone R&amp;D investment [2].</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Amentum's mission centers on 'solving complex challenges that face our nation and allies' through advanced engineering and technology — clear and relevant to its government services focus but not distinctively articulated beyond standard defense contractor positioning [2]. Community &amp; Charitable Impact (1/2): Amentum publishes corporate responsibility reports and maintains sustainability initiatives including environmental remediation services that directly serve community environmental needs, though philanthropic programs are not prominently featured [3]. Employee Retention (1/2): With 50,000 employees and century-old heritage roots, Amentum emphasizes safety culture and operational excellence. The company promotes a mission-driven culture, though employee sentiment data is limited for this newly formed entity [2]. Insider Buying (0/2): Recent insider activity consists primarily of stock grants and RSU vesting for directors and officers — CEO John Heller received 51,979 shares through vesting in January 2026, but there is no evidence of open-market insider buying [4].</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Amentum's financial profile reflects a newly formed entity still integrating its merger. D/E of 84.4% is moderate with $3.94B total debt against $247M cash — elevated leverage from the merger financing but within manageable range for a services business with predictable cash flows [4]. Forward P/E of 10.0x is attractive for a company guiding to $2.25-2.45 adjusted EPS, suggesting significant earnings expansion from the merger integration [1]. However, GAAP profit margin of just 0.69% reflects heavy merger-related charges, and ROE of 1.8% is extremely low, indicating the business has not yet demonstrated profitability commensurate with its asset base [4]. Revenue declined 5.2% YoY due to contract transitions from consolidated to unconsolidated JVs and divestitures, though normalized organic growth was approximately 3% [1]. FY2026 guidance of $13.95-14.30B revenue with adjusted EBITDA of $1.1-1.14B (8% margin) and FCF of $525-575M provides reasonable visibility [1]. Liquidity floor cleared: 2.1M avg volume x $27.50 = $56.8M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Amentum draws from century-old heritage through its predecessor organizations (Jacobs, AECOM) but is functionally a new entity formed in late 2024. The merger itself represents bold strategic thinking, but the company has not yet demonstrated the consistency of purpose or leadership continuity that characterizes infinite game players. The focus on mission-critical government services provides a natural long-term orientation, but the emphasis on backlog growth and margin targets reflects finite game metrics.</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Amentum's purpose of solving complex national security and engineering challenges for government clients has intrinsic long-term value, but is articulated more as capability than cause [2]. The company's heritage spans a century through predecessor organizations, but the current entity is too new (formed late 2024) to have demonstrated consistent purpose through crisis or leadership transitions. The Just Cause reads as a mission statement rather than a transformative vision. 1 point.</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Amentum emphasizes safety culture and operational excellence across 50,000 employees, and CEO John Heller's 2024 CEO of the Year recognition suggests respected leadership [2]. However, the entity is still integrating two distinct organizational cultures from the legacy Amentum and AECOM Management Services merger, creating inherent trust uncertainty. Limited employee sentiment data is available for this newly formed company. 1 point.</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Amentum's competitive positioning focuses on backlog size ($47.2B) and win rates rather than learning from rivals [1]. The government services sector is inherently competitive on contracts won and lost, encouraging a finite competitive mindset. No evidence of management framing competition in terms of self-improvement or acknowledging specific rival strengths. 0 points.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formation of Amentum itself — combining a Jacobs Engineering spinoff with AECOM's Management Services — represents a strategic transformation, creating a scale platform in government services from two separate entities [1]. The pivot toward Digital Solutions (intelligence analytics, cybersecurity, space systems) alongside traditional engineering reflects evolving capability, though it is incremental rather than transformative. 1 point.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CEO Heller demonstrated courage in executing the complex merger that created the current Amentum entity, and the company's investment in nuclear energy capabilities (over $1B in Q1 awards) represents a long-term bet on energy transition [1]. Maintaining full-year guidance despite revenue headwinds from contract transitions shows operational confidence. 1 point.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Amentum is a newly formed $14B+ revenue government services platform with a record $47.2B backlog and $23B in pending awards, created through the late-2024 merger of legacy Amentum and AECOM Management Services [1]. The forward P/E of just 10.0x against FY2026 adjusted EPS guidance of $2.25-2.45 suggests the market is undervaluing the earnings power of the combined entity, particularly as merger integration drives margin expansion toward the 8%+ adjusted EBITDA margin target [1]. Key growth vectors include nuclear energy (over $1B in Q1 awards), digital solutions (intelligence analytics, cybersecurity), and space systems. Free cash flow guidance of $525-575M provides meaningful capital allocation flexibility for a $6.7B market cap company. The massive backlog provides multi-year revenue visibility unusual for a company of this valuation [1].</w:t>
      </w:r>
    </w:p>
    <w:p>
      <w:pPr>
        <w:spacing w:after="120"/>
      </w:pPr>
      <w:r>
        <w:rPr>
          <w:rFonts w:ascii="Calibri" w:hAnsi="Calibri"/>
          <w:b w:val="0"/>
          <w:color w:val="3A4A28"/>
          <w:sz w:val="20"/>
        </w:rPr>
        <w:t>The bear case focuses on merger integration risk and razor-thin profitability. GAAP profit margin of 0.69% and ROE of 1.8% reflect a business that has not yet demonstrated the profitability expected of a mature services company — net income was just $66M on $14.4B revenue in FY2025 [4]. Total debt of $3.94B against only $247M cash creates financial fragility if integration synergies fail to materialize or if government spending is cut under DOGE or sequestration scenarios [4]. Revenue declined 5.2% YoY due to contract transitions, and organic growth of only ~3% is modest for a company that needs to demonstrate the merger's strategic rationale [1]. The government services sector faces secular headwinds from the current administration's cost-cutting posture, and Amentum's heavy dependence on U.S. government contracts (defense, intelligence, energy) creates concentration risk. Insider activity shows no open-market buying, suggesting executives may be waiting for clearer integration progress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Merger integration synergies driving adjusted EBITDA margins from 8.1% toward the $1.1-1.14B target, demonstrating the strategic rationale of the combined entity [1]</w:t>
      </w:r>
    </w:p>
    <w:p>
      <w:pPr>
        <w:spacing w:before="40" w:after="40"/>
        <w:ind w:left="283"/>
      </w:pPr>
      <w:r>
        <w:rPr>
          <w:rFonts w:ascii="Calibri" w:hAnsi="Calibri"/>
          <w:b/>
          <w:color w:val="4A6B25"/>
          <w:sz w:val="20"/>
        </w:rPr>
        <w:t xml:space="preserve">2. </w:t>
      </w:r>
      <w:r>
        <w:rPr>
          <w:rFonts w:ascii="Calibri" w:hAnsi="Calibri"/>
          <w:b w:val="0"/>
          <w:color w:val="3A4A28"/>
          <w:sz w:val="20"/>
        </w:rPr>
        <w:t>Nuclear energy contract wins accelerating — over $1B in Q1 FY2026 alone — as energy transition creates secular demand for remediation and new plant services [1]</w:t>
      </w:r>
    </w:p>
    <w:p>
      <w:pPr>
        <w:spacing w:before="40" w:after="40"/>
        <w:ind w:left="283"/>
      </w:pPr>
      <w:r>
        <w:rPr>
          <w:rFonts w:ascii="Calibri" w:hAnsi="Calibri"/>
          <w:b/>
          <w:color w:val="4A6B25"/>
          <w:sz w:val="20"/>
        </w:rPr>
        <w:t xml:space="preserve">3. </w:t>
      </w:r>
      <w:r>
        <w:rPr>
          <w:rFonts w:ascii="Calibri" w:hAnsi="Calibri"/>
          <w:b w:val="0"/>
          <w:color w:val="3A4A28"/>
          <w:sz w:val="20"/>
        </w:rPr>
        <w:t>Pending awards of $23B converting to contract wins, driving book-to-bill above 1.0x and providing confidence in multi-year revenue growth trajectory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profitability risk — 0.69% net margin and $3.94B debt create vulnerability if merger synergies underperform or government contract margins compress [4]</w:t>
      </w:r>
    </w:p>
    <w:p>
      <w:pPr>
        <w:spacing w:before="40" w:after="40"/>
        <w:ind w:left="283"/>
      </w:pPr>
      <w:r>
        <w:rPr>
          <w:rFonts w:ascii="Calibri" w:hAnsi="Calibri"/>
          <w:b/>
          <w:color w:val="4A6B25"/>
          <w:sz w:val="20"/>
        </w:rPr>
        <w:t xml:space="preserve">2. </w:t>
      </w:r>
      <w:r>
        <w:rPr>
          <w:rFonts w:ascii="Calibri" w:hAnsi="Calibri"/>
          <w:b w:val="0"/>
          <w:color w:val="3A4A28"/>
          <w:sz w:val="20"/>
        </w:rPr>
        <w:t>U.S. government spending cuts under DOGE or budget sequestration could directly impact Amentum's $14B revenue base concentrated in federal contracts [1]</w:t>
      </w:r>
    </w:p>
    <w:p>
      <w:pPr>
        <w:spacing w:before="40" w:after="40"/>
        <w:ind w:left="283"/>
      </w:pPr>
      <w:r>
        <w:rPr>
          <w:rFonts w:ascii="Calibri" w:hAnsi="Calibri"/>
          <w:b/>
          <w:color w:val="4A6B25"/>
          <w:sz w:val="20"/>
        </w:rPr>
        <w:t xml:space="preserve">3. </w:t>
      </w:r>
      <w:r>
        <w:rPr>
          <w:rFonts w:ascii="Calibri" w:hAnsi="Calibri"/>
          <w:b w:val="0"/>
          <w:color w:val="3A4A28"/>
          <w:sz w:val="20"/>
        </w:rPr>
        <w:t>Integration execution risk — combining 50,000 employees from two distinct organizational cultures while maintaining contract performance and client relationships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(6/9): Amentum's core business involves physical-world operations — environmental remediation, nuclear decommissioning, platform engineering, and supply chain management — that AI cannot structurally displace [1]. Government contracts require security clearances, classified facility access, and hands-on engineering that no AI system can replicate. The Digital Solutions segment (intelligence analytics, cybersecurity, space systems) directly benefits from AI as an enabler rather than a threat. However, some back-office and administrative functions within large government contracts could face AI-driven efficiency pressure from procurement agencies demanding lower costs. AI Opportunity (1/1): Amentum's Digital Solutions segment generates meaningful revenue from AI-adjacent capabilities including intelligence analytics, cybersecurity, and data-driven solutions for defense and intelligence community clients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Privacy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Amentum Q1 FY2026 Earnings Release — $3.24B revenue, $47.2B backlog, FY2026 guidance $13.95-14.30B revenue, adjusted EPS $2.25-2.45, February 2026</w:t>
      </w:r>
    </w:p>
    <w:p>
      <w:pPr>
        <w:spacing w:before="20" w:after="20"/>
        <w:ind w:left="170"/>
      </w:pPr>
      <w:r>
        <w:rPr>
          <w:rFonts w:ascii="Calibri" w:hAnsi="Calibri"/>
          <w:b/>
          <w:color w:val="4A6B25"/>
          <w:sz w:val="15"/>
        </w:rPr>
        <w:t xml:space="preserve">2. </w:t>
      </w:r>
      <w:r>
        <w:rPr>
          <w:rFonts w:ascii="Calibri" w:hAnsi="Calibri"/>
          <w:b w:val="0"/>
          <w:color w:val="3A4A28"/>
          <w:sz w:val="17"/>
        </w:rPr>
        <w:t>Amentum Executive Leadership, WashingtonExec — CEO John Heller profile, Dr. Samanta Roy appointment, culture and mission focus, accessed April 2026</w:t>
      </w:r>
    </w:p>
    <w:p>
      <w:pPr>
        <w:spacing w:before="20" w:after="20"/>
        <w:ind w:left="170"/>
      </w:pPr>
      <w:r>
        <w:rPr>
          <w:rFonts w:ascii="Calibri" w:hAnsi="Calibri"/>
          <w:b/>
          <w:color w:val="4A6B25"/>
          <w:sz w:val="15"/>
        </w:rPr>
        <w:t xml:space="preserve">3. </w:t>
      </w:r>
      <w:r>
        <w:rPr>
          <w:rFonts w:ascii="Calibri" w:hAnsi="Calibri"/>
          <w:b w:val="0"/>
          <w:color w:val="3A4A28"/>
          <w:sz w:val="17"/>
        </w:rPr>
        <w:t>Amentum ESG Corporate Responsibility Report — sustainability initiatives, environmental remediation capabilities, accessed April 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yfinance data for AMTM (Amentum Holdings Inc.), retrieved April 17,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