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AMTX</w:t>
      </w:r>
      <w:r>
        <w:rPr>
          <w:rFonts w:ascii="Calibri" w:hAnsi="Calibri"/>
          <w:b/>
          <w:color w:val="1A2010"/>
          <w:sz w:val="40"/>
        </w:rPr>
        <w:t xml:space="preserve">  Aemetis,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2026-05-02 · Inspire: 70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Specialty Chemicals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Aemetis, Inc. is a renewable fuels and biochemicals company focused on the acquisition, development, and commercialization of technologies that replace petroleum-based products. The company operates ethanol production, dairy biogas renewable natural gas, and sustainable aviation fuel facilities in California and India.</w:t>
      </w:r>
    </w:p>
    <w:p>
      <w:r>
        <w:rPr>
          <w:rFonts w:ascii="Calibri" w:hAnsi="Calibri"/>
          <w:b/>
          <w:color w:val="6E8450"/>
          <w:sz w:val="18"/>
        </w:rPr>
        <w:t>https://www.aemetis.com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Aemetis is pioneering Carbon Zero production processes for drop-in renewable fuels including sustainable aviation fuel (SAF) and renewable diesel [1]. Dairy RNG production increased 61% YoY in Q4 2025, demonstrating successful scaling of anaerobic digestion technology [2]. CEO McAfee received the 2023 Global Bioeconomy Leadership Award, reflecting industry recognition of innovation [3]. However, core ethanol technology is mature and the company has yet to demonstrate commercial-scale SAF production.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Eric McAfee has led the company for nearly 20 years as founder-CEO, providing visionary continuity in the renewable fuels transition [3]. Glassdoor reviews describe a 'family atmosphere' with great teams, but also note reluctance to pay competitive wages and lack of yearly raises [4]. The decarbonization mission resonates with employees but the company's persistent losses may strain morale over time.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Aemetis remains deeply unprofitable with a negative profit margin of -37% and no reported ROE or debt-to-equity due to negative equity [5]. Revenue of $197.6M in FY2025 shows scale, but the company has burned cash for years and relies on government tax credits (45z production credits) for path to profitability. Forward P/E of 14.9 implies analysts expect profitability, but execution risk is high. Revenue growth of 14.2% is solid but insufficient to offset structural financial weakness.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Aemetis demonstrates infinite game characteristics through its founder-led 20-year commitment to decarbonizing transportation fuels, accepting years of losses to build a diversified renewable fuels platform. However, persistent unprofitability and reliance on government incentives raise questions about long-term sustainability.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mission to replace petroleum-based products with carbon-negative renewable fuels represents a genuine just cause aligned with climate imperatives [1]. CEO McAfee has pursued this vision for nearly two decades through multiple market cycles, demonstrating conviction beyond quarterly thinking. The company's Carbon Zero branding articulates a clear long-term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reviews indicate a mixed culture — positive mentions of family atmosphere and good management, but criticism of below-market compensation and lack of raises [4]. For a company requiring highly specialized engineers and operators, wage competitiveness concerns could impair talent retention as the company scales its SAF and biogas operations.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Aemetis competes against well-capitalized rivals including Gevo, Neste, and major oil companies in the SAF space, and Clean Energy Fuels in RNG. The competitive pressure drives innovation, though the company's small scale ($240M market cap) relative to competitors creates vulnerability. Geographic focus on California provides LCFS credit advantages.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has demonstrated strategic flexibility by diversifying from India-based biodiesel to California ethanol, then expanding into dairy biogas RNG and now sustainable aviation fuel [1]. Each pivot has added revenue streams while maintaining the core decarbonization thesis. The multi-product platform reduces single-technology risk.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McAfee has shown courage in maintaining the company through years of losses and capital raises to build long-term assets. However, the reliance on government subsidies (45z credits, LCFS, 15% ethanol mandates) rather than standalone economics suggests the business model requires policy support to succeed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Aemetis is a high-risk, high-reward renewable fuels play positioned at the intersection of decarbonization policy tailwinds and growing demand for sustainable aviation fuel and renewable natural gas. The 61% growth in dairy RNG production and 14.2% revenue growth demonstrate operational momentum, while the forward P/E of 14.9 suggests the market expects a profitability inflection in 2026.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the company's persistent negative margins (-37%), undisclosed debt levels, and dependence on government incentives (45z tax credits, California LCFS) create substantial execution and policy risk. At $3.52/share with a $240M market cap, AMTX is a speculative position that requires conviction in both renewable fuel economics and continued policy support. The upcoming Q1 2026 earnings on May 7 will provide critical visibility into the profitability trajectory.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45z production tax credit implementation providing direct revenue uplift starting late 2025 and accelerating through 2026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Sustainable aviation fuel plant completion could unlock a massive addressable market with premium pricing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Dairy RNG production scaling (61% YoY growth) with increasing LCFS credit values in California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Persistent unprofitability with -37% net margin and potential need for dilutive capital raises to fund growth projects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Heavy dependence on government incentives (45z, LCFS, ethanol mandates) that could be reduced under changing political leadership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Small market cap ($240M) and low stock price ($3.52) increase vulnerability to dilution and delisting risk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poses limited direct disruption risk to Aemetis's core business of physical fuel production and biogas collection — these are asset-heavy industrial processes that cannot be digitally replicated. AI could modestly benefit operations through process optimization in ethanol production and predictive maintenance for biogas digesters. However, AI-driven advances in battery technology and EV adoption represent an indirect long-term threat to liquid fuel demand, though aviation and heavy transport remain difficult to electrify.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70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Aemetis Corporate Website — About and Carbon Zero Production Process,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Aemetis Q4 FY2025 Earnings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Aemetis — CEO Eric McAfee Awarded 2023 Global Bioeconomy Leadership Award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Aemetis Reviews,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AMTX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