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w:t>
      </w:r>
      <w:r>
        <w:rPr>
          <w:rFonts w:ascii="Calibri" w:hAnsi="Calibri"/>
          <w:b/>
          <w:color w:val="1A2010"/>
          <w:sz w:val="40"/>
        </w:rPr>
        <w:t xml:space="preserve">  American Tower Corporation</w:t>
      </w:r>
    </w:p>
    <w:p>
      <w:pPr>
        <w:spacing w:after="120"/>
      </w:pPr>
      <w:r>
        <w:rPr>
          <w:rFonts w:ascii="Calibri" w:hAnsi="Calibri"/>
          <w:b/>
          <w:color w:val="6E8450"/>
          <w:sz w:val="18"/>
        </w:rPr>
        <w:t>DIVIDEND SLEEVE · 2026-04-09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American Tower Corporation is one of the largest global real estate investment trusts and a leading independent owner, operator, and developer of multitenant communications real estate. The company owns and operates approximately 224,000 communications sites worldwide, leasing space to wireless service providers, broadcasters, and government agencies. AMT is also expanding into data centers.</w:t>
      </w:r>
    </w:p>
    <w:p>
      <w:r>
        <w:rPr>
          <w:rFonts w:ascii="Calibri" w:hAnsi="Calibri"/>
          <w:b/>
          <w:color w:val="6E8450"/>
          <w:sz w:val="18"/>
        </w:rPr>
        <w:t>4,866 Employees · https://www.americantower.com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Tower's core business model — owning and leasing tower space — has been remarkably consistent rather than innovative over the past five years. The company sold its India operations (ATC India) to focus on higher-return markets, which was a strategic adjustment but not a transformative pivot [1]. AI Deployment (1/2): AMT has deployed AI for network optimization and predictive maintenance across its 224,000 sites, generating internal operational efficiencies, though these are not customer-facing AI products [3]. Market Share (2/2): American Tower is one of the three dominant global tower companies alongside Crown Castle and SBA Communications, collectively controlling the majority of U.S. tower infrastructure. The company's 224,000+ global sites represent unmatched scale in communications real estate [1]. Pipeline (1/2): The U.S. data center business is expected to grow ~13% in 2026, and AMT plans to construct approximately 2,000 new tower sites, providing specific near-term growth visibility [1]. R&amp;D Intensity (0/1): Tower REITs spend minimal on R&amp;D — the business is infrastructure ownership,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American Tower's purpose of connecting people and businesses worldwide through essential communications infrastructure is specific, thoughtful, and validated by decades of execution across 25+ countries [3]. The mission connects infrastructure ownership to a genuine societal benefit — bridging the digital divide — and leadership references this purpose in strategic decisions. Community Impact (2/2): The Digital Communities Program aims to reach two million underserved individuals by 2030 through digital literacy, skills training, and healthcare access [3]. Executive pay is tied to ESG goals including GHG emissions cuts and digital inclusion. AMT was named a World's Most Admired Company by Fortune [3]. Employee Retention (1/2): Glassdoor reviews highlight 'great culture and work-life balance coupled with strong leadership,' though some employees cite poor planning and low pay for credentials [2]. Steady leadership under CEO Steven Vondran (appointed 2024) provides continuity. Insider Buying (1/2): No specific net insider buying data found for the last 12 months, though REIT executives typically maintain significant equity positions due to compensation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Tower's financial profile is strong on most metrics with REIT-specific weaknesses in leverage and payout. ROE of 26.3% is well above the 15% target, and profit margin of 23.8% exceeds the 20% target [4]. Forward P/E of 25.4x is reasonable for a premium REIT, scoring above the midpoint. Revenue grew 5.1% YoY to $10.6B, with AFFO per share growing 8% and accelerating to 13% in Q4 [1]. The 5-year dividend growth CAGR of 8.5% is excellent, exceeding the 6% target, and the company has paid dividends for 13 consecutive years with 8 consecutive years of growth [4]. D/E of 434% scores zero — typical for REITs using leverage for asset acquisition — and payout ratio of 126% also scores zero as REITs distribute most FFO as dividends per REIT requirements. The 3-year revenue CAGR of 3.3% is below target, reflecting the India divestiture impact. Liquidity is excellent at $584M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American Tower exhibits strong infinite game characteristics — the company has been building essential communications infrastructure for decades, with a purpose that transcends any single technology cycle. The pivot from pure towers to include data centers shows strategic evolution, and the 13-year dividend growth track record demonstrates commitment to long-term shareholder value creation. The Digital Communities Program targeting 2M underserved individuals and ESG-linked executive pay reflect genuine stakeholder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Connecting people and businesses through essential communications infrastructure is a genuine and distinctive cause that has been validated across multiple technology cycles (3G, 4G, 5G) and geographic expansions into 25+ countries [3]. The Digital Communities Program and commitment to bridging the digital divide extend the cause beyond commercial transactions. The purpose shapes strategic decisions — the India divestiture and data center expansion both align with maximizing infrastructure impact. Genuine cause, partially lived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cite 'great culture and work-life balance' with strong leadership [2]. CEO transition from Tom Bartlett to Steven Vondran in 2024 was orderly, suggesting organizational stability. However, some employees cite poor planning and low pay relative to credentials, and the workforce of ~4,866 for a $82B company is lean, suggesting operational efficiency but potentially high individual workload. Adequate trust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Tower operates in a cooperative oligopoly with Crown Castle and SBA Communications, where the competitive dynamic is more about serving distinct customer needs than destroying rivals. Management's focus on operational excellence and selective tower construction rather than aggressive market share rhetoric reflects an improvement-oriented competitive mindset [1]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AMT has evolved from a pure U.S. tower company to a global communications infrastructure platform spanning 25+ countries, and is now expanding into data centers — a meaningful strategic evolution driven by the mission to connect people rather than desperation [1]. The India divestiture showed willingness to exit markets that don't meet return thresholds. Incremental but meaningful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ATC India (a massive growth market) to focus capital on higher-return U.S. data center and tower investments required conviction to prioritize returns over growth narrative [1]. Maintaining dividend growth through the India divestiture and interest rate headwinds demonstrates financial discipline. Some courageous decisions evident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Tower is a premier infrastructure REIT owning 224,000+ communications sites globally, generating $10.6B in 2025 revenue with AFFO per share growth accelerating to 13% in Q4 [1]. The company benefits from a secular AI tailwind — data center demand is guided to grow 13% in 2026 as hyperscalers expand AI capacity, while 5G densification and edge computing drive new tower leasing [1]. The 3.9% dividend yield with 8.5% five-year dividend growth CAGR provides an attractive and growing income stream, supported by 13 consecutive years of dividend payments and 8 consecutive years of growth [4]. At 25.4x forward P/E, AMT is reasonably valued for a monopolistic infrastructure asset with 20-30 year contract durations and inflation escalators. The company's plan to construct 2,000 new tower sites while growing data center revenue creates a dual growth engine [1].</w:t>
      </w:r>
    </w:p>
    <w:p>
      <w:pPr>
        <w:spacing w:after="120"/>
      </w:pPr>
      <w:r>
        <w:rPr>
          <w:rFonts w:ascii="Calibri" w:hAnsi="Calibri"/>
          <w:b w:val="0"/>
          <w:color w:val="3A4A28"/>
          <w:sz w:val="20"/>
        </w:rPr>
        <w:t>The bear case centers on leverage, valuation, and growth deceleration. D/E of 434% reflects REIT-typical leverage but exposes the company to interest rate sensitivity — rising rates compress REIT valuations and increase refinancing costs [4]. Payout ratio of 126% exceeds 100%, meaning AMT distributes more than GAAP net income (standard for REITs distributing based on FFO/AFFO, but limits financial flexibility). Revenue growth of 5.1% YoY and organic tenant billings growth guided at only ~1% for 2026 suggest the core tower business is mature, with growth increasingly dependent on data center expansion and new site construction [1]. The India divestiture, while strategically sound, removed a major growth geography from the portfolio. EPS declined 33% YoY in 2025 due to non-cash charges and the India exit, creating near-term earnings volatility. Competition from private tower operators and potential 5G infrastructure sharing arrangements could pressure long-term lease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data center business growing 13% in 2026, driven by AI hyperscaler demand and edge computing buildout [1]</w:t>
      </w:r>
    </w:p>
    <w:p>
      <w:pPr>
        <w:spacing w:before="40" w:after="40"/>
        <w:ind w:left="283"/>
      </w:pPr>
      <w:r>
        <w:rPr>
          <w:rFonts w:ascii="Calibri" w:hAnsi="Calibri"/>
          <w:b/>
          <w:color w:val="4A6B25"/>
          <w:sz w:val="20"/>
        </w:rPr>
        <w:t xml:space="preserve">2. </w:t>
      </w:r>
      <w:r>
        <w:rPr>
          <w:rFonts w:ascii="Calibri" w:hAnsi="Calibri"/>
          <w:b w:val="0"/>
          <w:color w:val="3A4A28"/>
          <w:sz w:val="20"/>
        </w:rPr>
        <w:t>Construction of approximately 2,000 new tower sites expanding the asset base and creating organic growth beyond lease escalators [1]</w:t>
      </w:r>
    </w:p>
    <w:p>
      <w:pPr>
        <w:spacing w:before="40" w:after="40"/>
        <w:ind w:left="283"/>
      </w:pPr>
      <w:r>
        <w:rPr>
          <w:rFonts w:ascii="Calibri" w:hAnsi="Calibri"/>
          <w:b/>
          <w:color w:val="4A6B25"/>
          <w:sz w:val="20"/>
        </w:rPr>
        <w:t xml:space="preserve">3. </w:t>
      </w:r>
      <w:r>
        <w:rPr>
          <w:rFonts w:ascii="Calibri" w:hAnsi="Calibri"/>
          <w:b w:val="0"/>
          <w:color w:val="3A4A28"/>
          <w:sz w:val="20"/>
        </w:rPr>
        <w:t>5G densification cycle and AI edge computing driving incremental small cell and tower leasing demand across the 224,000+ site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(434% D/E) creates interest rate sensitivity — refinancing $30B+ in debt at higher rates could compress AFFO per share growth [4]</w:t>
      </w:r>
    </w:p>
    <w:p>
      <w:pPr>
        <w:spacing w:before="40" w:after="40"/>
        <w:ind w:left="283"/>
      </w:pPr>
      <w:r>
        <w:rPr>
          <w:rFonts w:ascii="Calibri" w:hAnsi="Calibri"/>
          <w:b/>
          <w:color w:val="4A6B25"/>
          <w:sz w:val="20"/>
        </w:rPr>
        <w:t xml:space="preserve">2. </w:t>
      </w:r>
      <w:r>
        <w:rPr>
          <w:rFonts w:ascii="Calibri" w:hAnsi="Calibri"/>
          <w:b w:val="0"/>
          <w:color w:val="3A4A28"/>
          <w:sz w:val="20"/>
        </w:rPr>
        <w:t>Core tower organic tenant billings growth guided at only ~1% for 2026, suggesting the legacy tower business is approaching maturity [1]</w:t>
      </w:r>
    </w:p>
    <w:p>
      <w:pPr>
        <w:spacing w:before="40" w:after="40"/>
        <w:ind w:left="283"/>
      </w:pPr>
      <w:r>
        <w:rPr>
          <w:rFonts w:ascii="Calibri" w:hAnsi="Calibri"/>
          <w:b/>
          <w:color w:val="4A6B25"/>
          <w:sz w:val="20"/>
        </w:rPr>
        <w:t xml:space="preserve">3. </w:t>
      </w:r>
      <w:r>
        <w:rPr>
          <w:rFonts w:ascii="Calibri" w:hAnsi="Calibri"/>
          <w:b w:val="0"/>
          <w:color w:val="3A4A28"/>
          <w:sz w:val="20"/>
        </w:rPr>
        <w:t>EPS volatility from the India divestiture and non-cash charges may persist, and payout ratio above 100% of GAAP earnings limits dividend growth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American Tower is structurally immune to AI disruption — physical communications infrastructure (towers, data centers) cannot be replaced by software. AI actually increases demand for AMT's assets: AI workloads require massive data center capacity and dense wireless networks for edge computing and low-latency applications [1]. Every AI model trained, every autonomous vehicle deployed, and every IoT sensor connected needs the infrastructure AMT owns. The 5G densification wave and AI-driven data center expansion are secular tailwinds — AMT's U.S. data center business is guided to grow 13% in 2026 specifically because of AI-related demand [1]. Tower infrastructure has 20-30 year useful lives with long-term contracts, making the revenue base essentially AI-proof. AI Opportunity (1/1): AMT generates direct revenue from AI-related infrastructure demand — the data center business serves hyperscalers and enterprises deploying AI workloads, and tower densification is accelerated by edge computing requirements for AI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Tower Q4/Full-Year 2025 Earnings Release — $10.6B revenue, AFFO/share +8%, 2026 guidance including 13% data center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American Tower 821 reviews, employee culture and leadership feedback,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American Tower Corporate Responsibility / ESG — Digital Communities Program, sustainability reporting, Fortune Most Admired,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AMT (American Tower),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