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AMX</w:t>
      </w:r>
      <w:r>
        <w:rPr>
          <w:rFonts w:ascii="Calibri" w:hAnsi="Calibri"/>
          <w:b/>
          <w:color w:val="1A2010"/>
          <w:sz w:val="40"/>
        </w:rPr>
        <w:t xml:space="preserve">  América Móvil, S.A.B. de C.V.</w:t>
      </w:r>
    </w:p>
    <w:p>
      <w:pPr>
        <w:spacing w:after="120"/>
      </w:pPr>
      <w:r>
        <w:rPr>
          <w:rFonts w:ascii="Calibri" w:hAnsi="Calibri"/>
          <w:b/>
          <w:color w:val="6E8450"/>
          <w:sz w:val="18"/>
        </w:rPr>
        <w:t>DIVIDEND SLEEVE · 2026-04-13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NYSE · Mexico</w:t>
      </w:r>
    </w:p>
    <w:p>
      <w:pPr>
        <w:spacing w:after="80"/>
      </w:pPr>
      <w:r>
        <w:rPr>
          <w:rFonts w:ascii="Calibri" w:hAnsi="Calibri"/>
          <w:b w:val="0"/>
          <w:color w:val="3A4A28"/>
          <w:sz w:val="20"/>
        </w:rPr>
        <w:t>América Móvil is a vertically integrated Latin American telecommunications leader operating wireless, fixed-line, broadband, and Pay TV across 23 countries. Infrastructure includes 1M+ km of fiber, submarine cables, 5 satellites, and 38 data centers. Controlled by the Slim family, with Chairman Carlos Slim Domit and CEO Daniel Hajj.</w:t>
      </w:r>
    </w:p>
    <w:p>
      <w:r>
        <w:rPr>
          <w:rFonts w:ascii="Calibri" w:hAnsi="Calibri"/>
          <w:b/>
          <w:color w:val="6E8450"/>
          <w:sz w:val="18"/>
        </w:rPr>
        <w:t>185,000 Employees · https://www.americamovil.com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Q4 2025 revenue of MXN 245B was up 3.4% in peso terms (6.2% at constant FX) and service revenue up 5.3%; net profit quadrupled YoY and EBITDA grew 4.2% in peso terms (6.9% constant FX) [1][2]. Broadband accesses up 5.6% YoY as mobile postpaid and broadband have accelerated [1]. AI Deployment (1/2): 38 data centers and modern infrastructure provide AI-ready hosting, but AMX has not announced a distinctive AI product strategy or enterprise AI platform [3]. Market Share (2/2): Dominant wireless and broadband leader across 23 Latin American markets, with #1 or #2 share in Mexico, Brazil, Colombia, and Central America [3]. Pipeline (1/2): 5G and fiber broadband leadership continues with 2026 CapEx guided to ~14-15% of revenue (~$6.8-7.0B); acceleration in mobile postpaid and broadband verticals [1]. R&amp;D Intensity (0/1): Heavy network CapEx but limited software/R&amp;D intensity relative to global telco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Mission centers on being a 'catalyst for development' in Latin American communities through connectivity; work-environment survey score of 82.63 shows solid culture, but inspire-score misalignment indicates content-distribution concerns [3][4]. Community Impact (1/2): Employs ~185,000, connects hundreds of millions of LatAm subscribers, and reported 56% growth in educational-platform users [4]. Employee Retention (0/2): Inspire score of -62 reflects 'Sexually Explicit' negative attribution tied to content carried on AMX platforms, which materially damages the inspiration profile for faith-aligned investors. Insider Buying (0/2): Slim family controls the company; no meaningful insider signal for outside investors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for the Dividend sleeve: Q4 2025 revenue grew 3.4% in pesos (6.2% constant FX); FY2025 operating cash flow of MXN 213B and free cash flow of MXN 82B (~40% YoY FCF growth) supports the capital return program [1]. Net debt/EBITDA fell to 1.52x (management target 1.3-1.5x), showing balance-sheet discipline [1]. Trailing P/E of 17.3x at $27.15/share is reasonable for a dominant LatAm telco; forward dividend yield is 2.0-2.9% depending on source, with consistent payments [5]. ROE and margins are solid (20%+ EBITDA margin) though FX translation introduces volatility [2]. Liquidity floor easily cleared: market cap of $81.8B with heavy ADR trading volume [5]. Dividend history spans many years supporting Dividend sleeve classification.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América Móvil is a multi-decade Slim-family-controlled telecom that plays the long game on infrastructure investment across 23 Latin American countries. Disciplined leverage management, steady dividends, and entrenched scale support continuity, but the company's product innovation is infrastructure-centric rather than visionary, and the -62 Inspire score on explicit content exposure limits inspiration.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América Móvil's stated purpose is acting as a 'catalyst for development' in Latin American communities by expanding connectivity, with 56% growth in educational-platform users as evidence of community impact [4]. The cause is real but largely framed around the economic benefits of telecom rather than a transcendent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Chairman Carlos Slim Domit and CEO Daniel Hajj Aboumrad provide multi-decade continuity under Slim-family stewardship; 185,000 employees with a 82.63 work-environment survey score indicate solid culture [3][4]. Family control limits outside influence but creates strong internal alignment.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AMX competes against Telefonica, AT&amp;T (in Mexico), Vivo (TEF Brazil), Millicom, and an expanding cast of OTT players (WhatsApp, Netflix, YouTube) that have already disintermediated voice and messaging revenue [3]. The push into 5G and fiber is a direct response to these competitive pressures.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AMX has pivoted from voice/SMS to mobile postpaid and broadband — the 'more dynamic' lines that have accelerated over the last several quarters — and built 38 data centers, 5 satellites, and 1M+ km of fiber [1][3]. Exited T-Mobile US and spun off TRAXIÓN and Sítios Latinoamérica tower business historically, showing willingness to reshape the portfolio.</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Net debt/EBITDA of 1.52x with a stated target of 1.3-1.5x shows balance-sheet discipline, and 2026 CapEx of 14-15% of revenue demonstrates willingness to keep investing through cycles [1]. However, the Slim family's preference for stability over bold strategic pivots keeps AMX in the steady-executor category.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América Móvil is the dominant Latin American telecommunications leader, operating wireless, fiber, and broadband across 23 countries with 1M+ km of fiber, 5 satellites, and 38 data centers under Slim-family stewardship [3]. Q4 2025 delivered revenue growth of 3.4% in pesos (6.2% constant FX), service revenue up 5.3%, net profit quadrupled YoY, and EBITDA up 4.2% in pesos (6.9% constant FX) as mobile postpaid and broadband verticals accelerated [1][2]. Balance sheet discipline is exemplary — net debt/EBITDA fell to 1.52x, free cash flow grew ~40% to MXN 82B, and 2026 CapEx is guided to 14-15% of revenue ($6.8-7.0B) [1]. At $27.15 and 17.3x trailing P/E with a ~2.1% dividend yield, AMX offers stable emerging-market telco cash flow with real 5G and fiber scale benefits. Data-center infrastructure positions AMX as a beneficiary of Latin American AI hyperscaler buildout.</w:t>
      </w:r>
    </w:p>
    <w:p>
      <w:pPr>
        <w:spacing w:after="120"/>
      </w:pPr>
      <w:r>
        <w:rPr>
          <w:rFonts w:ascii="Calibri" w:hAnsi="Calibri"/>
          <w:b w:val="0"/>
          <w:color w:val="3A4A28"/>
          <w:sz w:val="20"/>
        </w:rPr>
        <w:t>The bear case centers on Inspire misalignment, regulatory exposure, and OTT disintermediation. The Inspire score of -62 with a 'Sexually Explicit' negative attribution tied to content carried on AMX platforms materially disqualifies the stock for many faith-aligned investors [6]. Mexican and Brazilian regulators have historically pressured AMX with sharing mandates and spectrum obligations, and political populism in Latin America could tighten telecom regulation further [3]. OTT services (WhatsApp, Netflix, YouTube) have long eroded voice, SMS, and Pay TV revenue, and AI-native content creation could accelerate cord-cutting. FX translation risk on the Mexican peso and Brazilian real adds earnings volatility for U.S. ADR holders. Q4 2025 EPS of $0.37 missed consensus by $0.06 despite the revenue beat, showing margin and FX headwinds [1]. Leverage at 1.52x net debt/EBITDA is well-managed but constrains flexibility. At 17.3x trailing P/E the stock is fairly rather than cheaply valued.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Latin American 5G and fiber broadband penetration driving sustained service revenue growth (up 5.3% in Q4 2025) [1]</w:t>
      </w:r>
    </w:p>
    <w:p>
      <w:pPr>
        <w:spacing w:before="40" w:after="40"/>
        <w:ind w:left="283"/>
      </w:pPr>
      <w:r>
        <w:rPr>
          <w:rFonts w:ascii="Calibri" w:hAnsi="Calibri"/>
          <w:b/>
          <w:color w:val="4A6B25"/>
          <w:sz w:val="20"/>
        </w:rPr>
        <w:t xml:space="preserve">2. </w:t>
      </w:r>
      <w:r>
        <w:rPr>
          <w:rFonts w:ascii="Calibri" w:hAnsi="Calibri"/>
          <w:b w:val="0"/>
          <w:color w:val="3A4A28"/>
          <w:sz w:val="20"/>
        </w:rPr>
        <w:t>AI data-center demand in Mexico, Brazil, and Colombia monetizing AMX's 38 data centers and network assets [3]</w:t>
      </w:r>
    </w:p>
    <w:p>
      <w:pPr>
        <w:spacing w:before="40" w:after="40"/>
        <w:ind w:left="283"/>
      </w:pPr>
      <w:r>
        <w:rPr>
          <w:rFonts w:ascii="Calibri" w:hAnsi="Calibri"/>
          <w:b/>
          <w:color w:val="4A6B25"/>
          <w:sz w:val="20"/>
        </w:rPr>
        <w:t xml:space="preserve">3. </w:t>
      </w:r>
      <w:r>
        <w:rPr>
          <w:rFonts w:ascii="Calibri" w:hAnsi="Calibri"/>
          <w:b w:val="0"/>
          <w:color w:val="3A4A28"/>
          <w:sz w:val="20"/>
        </w:rPr>
        <w:t>Continued net debt/EBITDA deleveraging toward the 1.3-1.5x target range, supporting dividend growth and capital returns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Inspire score of -62 with 'Sexually Explicit' negative attribution disqualifies AMX for many faith-aligned portfolios [6]</w:t>
      </w:r>
    </w:p>
    <w:p>
      <w:pPr>
        <w:spacing w:before="40" w:after="40"/>
        <w:ind w:left="283"/>
      </w:pPr>
      <w:r>
        <w:rPr>
          <w:rFonts w:ascii="Calibri" w:hAnsi="Calibri"/>
          <w:b/>
          <w:color w:val="4A6B25"/>
          <w:sz w:val="20"/>
        </w:rPr>
        <w:t xml:space="preserve">2. </w:t>
      </w:r>
      <w:r>
        <w:rPr>
          <w:rFonts w:ascii="Calibri" w:hAnsi="Calibri"/>
          <w:b w:val="0"/>
          <w:color w:val="3A4A28"/>
          <w:sz w:val="20"/>
        </w:rPr>
        <w:t>Regulatory and political pressure in core Mexican and Brazilian markets on spectrum, sharing, and pricing [3]</w:t>
      </w:r>
    </w:p>
    <w:p>
      <w:pPr>
        <w:spacing w:before="40" w:after="40"/>
        <w:ind w:left="283"/>
      </w:pPr>
      <w:r>
        <w:rPr>
          <w:rFonts w:ascii="Calibri" w:hAnsi="Calibri"/>
          <w:b/>
          <w:color w:val="4A6B25"/>
          <w:sz w:val="20"/>
        </w:rPr>
        <w:t xml:space="preserve">3. </w:t>
      </w:r>
      <w:r>
        <w:rPr>
          <w:rFonts w:ascii="Calibri" w:hAnsi="Calibri"/>
          <w:b w:val="0"/>
          <w:color w:val="3A4A28"/>
          <w:sz w:val="20"/>
        </w:rPr>
        <w:t>OTT and AI-native content disintermediation of voice, SMS, and Pay TV revenue pools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Physical wireless and fiber infrastructure across 23 Latin American countries is a defensive moat that AI cannot displace — spectrum licenses, tower networks, and 1M+ km of fiber are required for AI workloads to reach end users [3]. However, OTT services (WhatsApp, Netflix, YouTube) have long since disintermediated AMX's voice and SMS revenue, and AI-native content creation could pressure its Pay TV bundle. AI Opportunity (1/1): 38 data centers position AMX as a regional AI infrastructure host for hyperscaler expansion in LatAm; 5G and fiber leadership captures surging data traffic demand from AI applications [3]. AMX is a network-layer beneficiary, not an AI applications innovator.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América Móvil Q4 2025 Earnings Release and Call — MXN 245B revenue, MXN 82B FCF, net debt/EBITDA 1.52x, Feb 11, 2026</w:t>
      </w:r>
    </w:p>
    <w:p>
      <w:pPr>
        <w:spacing w:before="20" w:after="20"/>
        <w:ind w:left="170"/>
      </w:pPr>
      <w:r>
        <w:rPr>
          <w:rFonts w:ascii="Calibri" w:hAnsi="Calibri"/>
          <w:b/>
          <w:color w:val="4A6B25"/>
          <w:sz w:val="15"/>
        </w:rPr>
        <w:t xml:space="preserve">2. </w:t>
      </w:r>
      <w:r>
        <w:rPr>
          <w:rFonts w:ascii="Calibri" w:hAnsi="Calibri"/>
          <w:b w:val="0"/>
          <w:color w:val="3A4A28"/>
          <w:sz w:val="17"/>
        </w:rPr>
        <w:t>Insider Monkey and Seeking Alpha — Q4 2025 earnings call transcript and analysis</w:t>
      </w:r>
    </w:p>
    <w:p>
      <w:pPr>
        <w:spacing w:before="20" w:after="20"/>
        <w:ind w:left="170"/>
      </w:pPr>
      <w:r>
        <w:rPr>
          <w:rFonts w:ascii="Calibri" w:hAnsi="Calibri"/>
          <w:b/>
          <w:color w:val="4A6B25"/>
          <w:sz w:val="15"/>
        </w:rPr>
        <w:t xml:space="preserve">3. </w:t>
      </w:r>
      <w:r>
        <w:rPr>
          <w:rFonts w:ascii="Calibri" w:hAnsi="Calibri"/>
          <w:b w:val="0"/>
          <w:color w:val="3A4A28"/>
          <w:sz w:val="17"/>
        </w:rPr>
        <w:t>América Móvil corporate overview (americamovil.com) — 23-country footprint, 5G/fiber infrastructure</w:t>
      </w:r>
    </w:p>
    <w:p>
      <w:pPr>
        <w:spacing w:before="20" w:after="20"/>
        <w:ind w:left="170"/>
      </w:pPr>
      <w:r>
        <w:rPr>
          <w:rFonts w:ascii="Calibri" w:hAnsi="Calibri"/>
          <w:b/>
          <w:color w:val="4A6B25"/>
          <w:sz w:val="15"/>
        </w:rPr>
        <w:t xml:space="preserve">4. </w:t>
      </w:r>
      <w:r>
        <w:rPr>
          <w:rFonts w:ascii="Calibri" w:hAnsi="Calibri"/>
          <w:b w:val="0"/>
          <w:color w:val="3A4A28"/>
          <w:sz w:val="17"/>
        </w:rPr>
        <w:t>América Móvil Sustainability Site — work-environment survey score 82.63, 56% educational platform user growth</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Bloomberg — AMX price ($27.15), market cap ($81.8B), dividend data retrieved April 13, 2026</w:t>
      </w:r>
    </w:p>
    <w:p>
      <w:pPr>
        <w:spacing w:before="20" w:after="20"/>
        <w:ind w:left="170"/>
      </w:pPr>
      <w:r>
        <w:rPr>
          <w:rFonts w:ascii="Calibri" w:hAnsi="Calibri"/>
          <w:b/>
          <w:color w:val="4A6B25"/>
          <w:sz w:val="15"/>
        </w:rPr>
        <w:t xml:space="preserve">6. </w:t>
      </w:r>
      <w:r>
        <w:rPr>
          <w:rFonts w:ascii="Calibri" w:hAnsi="Calibri"/>
          <w:b w:val="0"/>
          <w:color w:val="3A4A28"/>
          <w:sz w:val="17"/>
        </w:rPr>
        <w:t>Inspire Insight — AMX ESG impact score -62 with 'Sexually Explicit' negative attribution</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