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ANNX</w:t>
      </w:r>
      <w:r>
        <w:rPr>
          <w:rFonts w:ascii="Calibri" w:hAnsi="Calibri"/>
          <w:b/>
          <w:color w:val="1A2010"/>
          <w:sz w:val="40"/>
        </w:rPr>
        <w:t xml:space="preserve">  Annexon, Inc.</w:t>
      </w:r>
    </w:p>
    <w:p>
      <w:pPr>
        <w:spacing w:after="120"/>
      </w:pPr>
      <w:r>
        <w:rPr>
          <w:rFonts w:ascii="Calibri" w:hAnsi="Calibri"/>
          <w:b/>
          <w:color w:val="6E8450"/>
          <w:sz w:val="18"/>
        </w:rPr>
        <w:t>GROWTH SLEEVE · 2026-04-11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Annexon, Inc. is a clinical-stage biopharmaceutical company discovering and developing targeted immunotherapy medicines for treating classical complement-mediated neuroinflammatory, autoimmune, and ophthalmic diseases. Lead programs include tanruprubart for Guillain-Barré syndrome and vonaprument (ANX007) for geographic atrophy.</w:t>
      </w:r>
    </w:p>
    <w:p>
      <w:r>
        <w:rPr>
          <w:rFonts w:ascii="Calibri" w:hAnsi="Calibri"/>
          <w:b/>
          <w:color w:val="6E8450"/>
          <w:sz w:val="18"/>
        </w:rPr>
        <w:t>96 Employees · https://www.annexonbio.com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Annexon has advanced tanruprubart through Phase 3 for GBS with an MAA filed in Europe and BLA planned for 2026, while simultaneously progressing vonaprument through Phase 3 for geographic atrophy (ARCHER II enrollment complete with 659 patients) and initiating ANX1502 oral small molecule in Phase 1 — multiple programs advancing simultaneously from a 96-person company [1][3]. AI Deployment (0/2): No evidence of AI-powered drug discovery, clinical trial optimization, or AI-driven research tools deployed with measurable results. Market Share Leadership (2/2): Annexon is developing a first-in-class C1q-targeting approach for GBS and GA — if approved, tanruprubart would be the first approved treatment for GBS, establishing category leadership in an unmet medical need [1][3]. Product Pipeline (2/2): Specific next-generation products with clear timelines: tanruprubart BLA filing in 2026, vonaprument Phase 3 topline data H2 2026, ANX1502 proof-of-concept in cold agglutinin disease in 2026, and ANX009 in Phase 1 for lupus nephritis [1][3]. R&amp;D Intensity (0/1): As a pre-revenue biotech, essentially all spending is R&amp;D, but this is standard for the sector rather than above-average.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Annexon's mission to develop 'next-generation targeted immunotherapies' for patients with devastating neuroinflammatory diseases reflects genuine intentionality — the focus on complement-mediated diseases affecting underserved patient populations (GBS, geographic atrophy, Huntington's) connects the company's work to a meaningful purpose [3]. Community Impact (1/2): Inspire score of 37 with positive attributions for Customer Welfare, Product Access and Affordability, and Low Ecological Impact suggests the company's therapeutic focus serves underserved patient communities. Employee Retention (0/2): Glassdoor reviews are mixed — some praise CEO Doug Love as 'one of my favorite leaders ever, friendly and engaged,' while others describe micromanagement and a 'win-at-any-cost mentality' [4]. The 96-person team is small but no specific retention data is available. Insider Buying (1/2): As a clinical-stage biotech approaching potential approval milestones, insider buying signals have been noted as a bullish indicator by analysts covering the stock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Annexon's Infrastructure reflects its pre-revenue clinical-stage status: zero revenue, zero profit margin, and deeply negative ROE of -81.9% driven by $186M in annual operating cash burn against $238.3M in cash reserves [1][3]. The sole positive metric is low D/E of 12.4% ($26.2M debt vs. $238.3M cash), indicating a conservative balance sheet funded primarily through equity. Forward P/E is negative (-6.1x) reflecting expected losses of -$0.96/share. The company expects its cash to fund operations into H2 2027, providing approximately 15-18 months of runway through key clinical milestones [3]. At $5.85/share with a $939M market cap, the stock is valued entirely on pipeline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Annexon demonstrates a mixed infinite/finite mindset. The company's focus on developing treatments for devastating diseases with no current therapies (GBS has no approved treatment) reflects genuine purpose beyond quarterly earnings. CEO Doug Love has led the company through multiple clinical milestones with a consistent vision. However, Glassdoor feedback about micromanagement and aggressive goal-setting suggests the internal culture may prioritize execution pressure over psychological safety, and the win-at-any-cost characterization conflicts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Annexon's focus on developing first-in-class treatments for patients with GBS (no approved therapy exists), geographic atrophy (leading cause of blindness), and other complement-mediated diseases represents a genuine cause that connects scientific innovation to patient need [1][3]. The purpose has been consistent since founding in 2011 and shapes all strategic decisions. However, the company hasn't yet survived a major crisis or leadership transition to prove the cause's durability.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concerning trust deficit — the CEO is described as 'very micromanaging' who 'gets very aggressive when goals are not met, even if unrealistic,' with a 'win-at-any-cost mentality' and 'too many chiefs and too few folks doing the work' [4]. While some employees praise the CEO's engagement, the pattern of micromanagement and fear-based pressure contradicts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Annexon acknowledging competitors' strengths or learning from rivals in the complement-targeting space. As a clinical-stage company pursuing first-in-class mechanisms, competitive language focuses on differentiation rather than competitive learning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Annexon has demonstrated flexibility by expanding from its initial neurodegeneration focus (Huntington's disease) into autoimmune (GBS) and ophthalmic (GA) indications, and by adding the oral small molecule ANX1502 to complement its biologic pipeline [1][3]. These represent meaningful strategic evolution, though the company remains focused on complement biology — a consistent but incremental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Annexon has shown courage by pursuing first-in-class mechanisms in GBS (no approved treatment exists) rather than pursuing validated targets in crowded indications. The decision to file an MAA in Europe for tanruprubart while simultaneously running a large Phase 3 (659 patients) for vonaprument represents bold resource allocation for a 96-person, pre-revenue company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Annexon is a clinical-stage biotech with a differentiated complement-targeting platform approaching transformative milestones in 2026: a potential BLA filing for tanruprubart in GBS (first approved treatment for the disease) and Phase 3 topline data for vonaprument in geographic atrophy (659-patient ARCHER II study) [1][3]. With $238.3M in cash funding operations into H2 2027, the company has runway through these catalysts.</w:t>
      </w:r>
    </w:p>
    <w:p>
      <w:pPr>
        <w:spacing w:after="120"/>
      </w:pPr>
      <w:r>
        <w:rPr>
          <w:rFonts w:ascii="Calibri" w:hAnsi="Calibri"/>
          <w:b w:val="0"/>
          <w:color w:val="3A4A28"/>
          <w:sz w:val="20"/>
        </w:rPr>
        <w:t>The $939M market cap reflects significant optionality on the pipeline — GBS approval alone could generate meaningful peak sales in an uncontested market, while GA represents a multi-billion-dollar opportunity competing against Apellis and Iveric Bio's approved complement inhibitors [3]. However, clinical-stage risk is extreme: binary trial outcomes could destroy 50%+ of market value, the Glassdoor feedback about aggressive management culture raises execution concerns, and the zero-revenue profile means Infrastructure scores are inherently weak [4]. For IOWN, the WATCH rating reflects strong Innovation and AI resilience offset by pre-revenue financial fragility and cultural red flags.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Tanruprubart BLA filing with FDA in 2026 for GBS, with MAA already filed in Europe — potential first approved treatment for the disease [1][3]</w:t>
      </w:r>
    </w:p>
    <w:p>
      <w:pPr>
        <w:spacing w:before="40" w:after="40"/>
        <w:ind w:left="283"/>
      </w:pPr>
      <w:r>
        <w:rPr>
          <w:rFonts w:ascii="Calibri" w:hAnsi="Calibri"/>
          <w:b/>
          <w:color w:val="4A6B25"/>
          <w:sz w:val="20"/>
        </w:rPr>
        <w:t xml:space="preserve">2. </w:t>
      </w:r>
      <w:r>
        <w:rPr>
          <w:rFonts w:ascii="Calibri" w:hAnsi="Calibri"/>
          <w:b w:val="0"/>
          <w:color w:val="3A4A28"/>
          <w:sz w:val="20"/>
        </w:rPr>
        <w:t>Vonaprument Phase 3 ARCHER II topline data expected H2 2026 in geographic atrophy with 659 patients enrolled [3]</w:t>
      </w:r>
    </w:p>
    <w:p>
      <w:pPr>
        <w:spacing w:before="40" w:after="40"/>
        <w:ind w:left="283"/>
      </w:pPr>
      <w:r>
        <w:rPr>
          <w:rFonts w:ascii="Calibri" w:hAnsi="Calibri"/>
          <w:b/>
          <w:color w:val="4A6B25"/>
          <w:sz w:val="20"/>
        </w:rPr>
        <w:t xml:space="preserve">3. </w:t>
      </w:r>
      <w:r>
        <w:rPr>
          <w:rFonts w:ascii="Calibri" w:hAnsi="Calibri"/>
          <w:b w:val="0"/>
          <w:color w:val="3A4A28"/>
          <w:sz w:val="20"/>
        </w:rPr>
        <w:t>ANX1502 oral small molecule proof-of-concept in cold agglutinin disease expected 2026, validating the next-gen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failure of tanruprubart BLA or vonaprument Phase 3 would severely impair the stock given zero current revenue [3]</w:t>
      </w:r>
    </w:p>
    <w:p>
      <w:pPr>
        <w:spacing w:before="40" w:after="40"/>
        <w:ind w:left="283"/>
      </w:pPr>
      <w:r>
        <w:rPr>
          <w:rFonts w:ascii="Calibri" w:hAnsi="Calibri"/>
          <w:b/>
          <w:color w:val="4A6B25"/>
          <w:sz w:val="20"/>
        </w:rPr>
        <w:t xml:space="preserve">2. </w:t>
      </w:r>
      <w:r>
        <w:rPr>
          <w:rFonts w:ascii="Calibri" w:hAnsi="Calibri"/>
          <w:b w:val="0"/>
          <w:color w:val="3A4A28"/>
          <w:sz w:val="20"/>
        </w:rPr>
        <w:t>Cash runway extends only to H2 2027, requiring additional capital raises that would dilute existing shareholders if milestones slip [3]</w:t>
      </w:r>
    </w:p>
    <w:p>
      <w:pPr>
        <w:spacing w:before="40" w:after="40"/>
        <w:ind w:left="283"/>
      </w:pPr>
      <w:r>
        <w:rPr>
          <w:rFonts w:ascii="Calibri" w:hAnsi="Calibri"/>
          <w:b/>
          <w:color w:val="4A6B25"/>
          <w:sz w:val="20"/>
        </w:rPr>
        <w:t xml:space="preserve">3. </w:t>
      </w:r>
      <w:r>
        <w:rPr>
          <w:rFonts w:ascii="Calibri" w:hAnsi="Calibri"/>
          <w:b w:val="0"/>
          <w:color w:val="3A4A28"/>
          <w:sz w:val="20"/>
        </w:rPr>
        <w:t>Glassdoor reports of micromanagement and aggressive culture could impact execution quality and talent retention at a critical juncture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Annexon's core business — discovering and developing novel biologic therapies targeting the classical complement pathway — is structurally immune to AI disruption. Drug development requires wet-lab research, clinical trials with human patients, FDA regulatory approval, and manufacturing of complex biologics, none of which can be substituted by AI [1]. The regulatory and clinical trial infrastructure creates insurmountable barriers to AI displacement. AI may eventually accelerate aspects of drug discovery and clinical trial design, but this would benefit Annexon rather than threaten it. AI Opportunity (0/1): No quantifiable AI revenue — Annexon does not commercialize AI tools or generate revenue from AI-related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Annexon Q4 and Year-End 2025 Financial Results and Milestones,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ANNX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Annexon 2026 Key Anticipated Milestones Announcement, Investor Relations, January 2026</w:t>
      </w:r>
    </w:p>
    <w:p>
      <w:pPr>
        <w:spacing w:before="20" w:after="20"/>
        <w:ind w:left="170"/>
      </w:pPr>
      <w:r>
        <w:rPr>
          <w:rFonts w:ascii="Calibri" w:hAnsi="Calibri"/>
          <w:b/>
          <w:color w:val="4A6B25"/>
          <w:sz w:val="15"/>
        </w:rPr>
        <w:t xml:space="preserve">4. </w:t>
      </w:r>
      <w:r>
        <w:rPr>
          <w:rFonts w:ascii="Calibri" w:hAnsi="Calibri"/>
          <w:b w:val="0"/>
          <w:color w:val="3A4A28"/>
          <w:sz w:val="17"/>
        </w:rPr>
        <w:t>Glassdoor — Annexon Biosciences Employee Reviews,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Benzinga — Managing Biotech Risk with Insider Clues, Annexon Analysis,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