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AON</w:t>
      </w:r>
      <w:r>
        <w:rPr>
          <w:rFonts w:ascii="Calibri" w:hAnsi="Calibri"/>
          <w:b/>
          <w:color w:val="1A2010"/>
          <w:sz w:val="40"/>
        </w:rPr>
        <w:t xml:space="preserve">  Aon plc</w:t>
      </w:r>
    </w:p>
    <w:p>
      <w:pPr>
        <w:spacing w:after="120"/>
      </w:pPr>
      <w:r>
        <w:rPr>
          <w:rFonts w:ascii="Calibri" w:hAnsi="Calibri"/>
          <w:b/>
          <w:color w:val="6E8450"/>
          <w:sz w:val="18"/>
        </w:rPr>
        <w:t>GROWTH SLEEVE · 2026-04-27 · Inspire: -49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Brokers · NYSE · Ireland</w:t>
      </w:r>
    </w:p>
    <w:p>
      <w:pPr>
        <w:spacing w:after="80"/>
      </w:pPr>
      <w:r>
        <w:rPr>
          <w:rFonts w:ascii="Calibri" w:hAnsi="Calibri"/>
          <w:b w:val="0"/>
          <w:color w:val="3A4A28"/>
          <w:sz w:val="20"/>
        </w:rPr>
        <w:t>Aon plc is a leading global professional services firm providing risk management, insurance and reinsurance brokerage, human capital consulting, and wealth solutions. Operating through Risk Capital and Human Capital segments, Aon advises clients on commercial risk, health solutions, retirement, and investment management across 120+ countries, serving organizations ranging from mid-market to the world's largest enterprises.</w:t>
      </w:r>
    </w:p>
    <w:p>
      <w:r>
        <w:rPr>
          <w:rFonts w:ascii="Calibri" w:hAnsi="Calibri"/>
          <w:b/>
          <w:color w:val="6E8450"/>
          <w:sz w:val="18"/>
        </w:rPr>
        <w:t>60,000 Employees · https://www.aon.com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Full-year 2025 revenue of $17.18B grew 9.45% YoY with 6% organic revenue growth for the second consecutive year, plus double-digit free cash flow growth [1]. Q4 2025 results demonstrated consistent execution across both Risk Capital and Human Capital segments. AI/Digital Deployment (2/2): Aon is investing heavily in data analytics and AI-driven risk modeling platforms, publishing thought leadership on AI disruption risks, and developing ESG rating systems and analytics tools for clients [2][3]. Market Share (1/2): Aon is the second-largest insurance broker globally behind Marsh McLennan, with dominant positions in reinsurance (Aon Reinsurance Solutions) and human capital consulting [1]. Pipeline (1/2): 2026 guidance calls for mid-single-digit or greater organic revenue growth, 70-80 bps of adjusted operating margin expansion, and double-digit free cash flow growth [1]. R&amp;D Intensity (1/1): Significant investment in proprietary risk analytics, Aon Inpoint data platform, and intellectual property across insurance and human capital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Aon's mission to 'shape decisions for the better' through risk management and human capital advisory is clearly articulated and deeply integrated into client service; the firm helps organizations navigate complex risks from climate to cyber [2][3]. Community Impact (1/2): Aon employs 60,000 globally and provides critical risk advisory services that underpin economic stability; the company has committed to net-zero GHG emissions and publishes annual impact reports [3]. Employee Retention (1/2): Glassdoor rating of 3.8/5 across 8,700+ reviews is solid for professional services; some employees note corporate leadership disconnect and compensation concerns despite friendly culture [2]. Insider Buying (1/2): CEO Greg Case has led since 2005, named among HBR's top 100 CEOs, with significant equity alignment; recent leadership appointments of Anne Corona as CEO of North America show succession planning depth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Revenue of $17.18B with 21.5% profit margin and 31.3% operating margin reflects the high-quality, asset-light insurance brokerage model [1][4]. Forward P/E of 15.0x is attractive for a company guiding to mid-single-digit organic growth with margin expansion; PEG of 2.55 reflects the mature growth profile [4]. ROE of 46.9% is excellent, though D/E of 168.3% with $16.1B in debt is elevated for a services firm — mitigated by $3.06B in free cash flow providing 5.3x interest coverage capacity [4]. Earnings grew 138.3% YoY (recovery from prior-year items) with EPS of $17.02 trailing and $21.39 forward, demonstrating strong earnings power [4]. Gross margin of 47.2% and FCF of $3.06B support shareholder returns. Liquidity floor easily cleared: 1.52M avg vol × $321.14 = $487M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Aon under Greg Case's 21-year tenure exemplifies infinite game thinking — the firm has transformed from a traditional insurance broker to a global professional services platform, acquiring NFP in 2024 and consistently investing in data analytics capabilities while guiding to sustainable mid-single-digit organic growth rather than short-term revenue maximization.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Aon's purpose of 'shaping decisions for the better' through risk management is validated by the firm's essential role in global commerce — from insuring infrastructure projects to advising on workforce resilience [1][3]. The commitment to net-zero emissions and annual impact reporting demonstrates purpose beyond profit. Greg Case's two-decade leadership provides mission continuity rare in professional services.</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 of 3.8/5 with positive culture scores and recent elevation of women leaders (Anne Corona, Lori Goltermann, Farheen Dam) in March 2026 signals commitment to diverse, trusting teams [2]. The 60,000-person workforce across 120+ countries requires decentralized trust. Some Glassdoor reviews cite corporate leadership disconnect, but overall sentiment is above industry average.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Aon openly competes with Marsh McLennan (larger), Willis (formerly merged partner), and specialty brokers, using each rivalry to sharpen capabilities [1]. The failed 2021 Willis merger and subsequent NFP acquisition in 2024 show willingness to learn from competitive dynamics and adapt strategy. Aon's reinsurance and human capital analytics compete directly with the best in class.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Transformed from a traditional broker to a data-driven professional services platform over two decades; pivoted after the failed Willis merger to acquire NFP and expand mid-market presence [1]. Investment in AI-driven risk analytics, ESG advisory, and cyber risk solutions demonstrates continuous business model evolution [2][3]. Dual Risk Capital / Human Capital structure allows strategic flexibility.</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Greg Case has led through the 2008 financial crisis, COVID, the failed $30B Willis merger, and the $13B NFP acquisition, each time repositioning Aon for long-term growth [1][2]. Guiding to margin expansion while investing in technology and talent shows willingness to sacrifice short-term earnings for sustainable competitive advantage. Consistent dividend growth for 13 years reflects capital discipline.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Aon is a best-in-class global insurance broker and professional services firm trading at 15.0x forward earnings with a 21.5% profit margin, 46.9% ROE, and $3.06B in annual free cash flow [4]. Full-year 2025 revenue of $17.18B grew 9.45% with 6% organic growth for the second consecutive year, and 2026 guidance calls for continued mid-single-digit organic growth with 70-80 bps of margin expansion [1]. The asset-light brokerage model generates high returns on invested capital, and the NFP acquisition in 2024 expanded the addressable market into the mid-market segment. Greg Case's 21-year leadership provides strategic continuity, and the firm's proprietary data and analytics capabilities create sustainable competitive advantages in risk pricing and human capital advisory [2].</w:t>
      </w:r>
    </w:p>
    <w:p>
      <w:pPr>
        <w:spacing w:after="120"/>
      </w:pPr>
      <w:r>
        <w:rPr>
          <w:rFonts w:ascii="Calibri" w:hAnsi="Calibri"/>
          <w:b w:val="0"/>
          <w:color w:val="3A4A28"/>
          <w:sz w:val="20"/>
        </w:rPr>
        <w:t>The bear case centers on valuation, leverage, and macro sensitivity. D/E of 168.3% with $16.1B in debt reflects aggressive financial engineering — while serviceable given $3B+ FCF, rising rates increase carry costs [4]. The PEG of 2.55 suggests mid-single-digit organic growth is already priced in, limiting upside unless Aon accelerates. Revenue growth of 3.7% in the most recent quarter was below the full-year 9.45% rate, suggesting possible deceleration [1]. Insurance brokerage revenue is cyclical and correlated with premium rates — a soft insurance market could compress organic growth. Integration risk from the $13B NFP acquisition remains, and the prior failed Willis merger highlights execution uncertainty. The 1.0% dividend yield provides minimal income support for a $69B market cap company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guidance for mid-single-digit organic growth with 70-80 bps margin expansion and double-digit FCF growth signals continued operational momentum [1]</w:t>
      </w:r>
    </w:p>
    <w:p>
      <w:pPr>
        <w:spacing w:before="40" w:after="40"/>
        <w:ind w:left="283"/>
      </w:pPr>
      <w:r>
        <w:rPr>
          <w:rFonts w:ascii="Calibri" w:hAnsi="Calibri"/>
          <w:b/>
          <w:color w:val="4A6B25"/>
          <w:sz w:val="20"/>
        </w:rPr>
        <w:t xml:space="preserve">2. </w:t>
      </w:r>
      <w:r>
        <w:rPr>
          <w:rFonts w:ascii="Calibri" w:hAnsi="Calibri"/>
          <w:b w:val="0"/>
          <w:color w:val="3A4A28"/>
          <w:sz w:val="20"/>
        </w:rPr>
        <w:t>NFP acquisition integration creating mid-market cross-selling opportunities and expanding the addressable market for Aon's data analytics platform [1]</w:t>
      </w:r>
    </w:p>
    <w:p>
      <w:pPr>
        <w:spacing w:before="40" w:after="40"/>
        <w:ind w:left="283"/>
      </w:pPr>
      <w:r>
        <w:rPr>
          <w:rFonts w:ascii="Calibri" w:hAnsi="Calibri"/>
          <w:b/>
          <w:color w:val="4A6B25"/>
          <w:sz w:val="20"/>
        </w:rPr>
        <w:t xml:space="preserve">3. </w:t>
      </w:r>
      <w:r>
        <w:rPr>
          <w:rFonts w:ascii="Calibri" w:hAnsi="Calibri"/>
          <w:b w:val="0"/>
          <w:color w:val="3A4A28"/>
          <w:sz w:val="20"/>
        </w:rPr>
        <w:t>AI-driven risk analytics and ESG advisory capabilities positioning Aon as an indispensable advisor in an increasingly complex risk landscape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Elevated leverage (D/E 168.3%, $16.1B debt) with rising interest rates increasing carry costs on the acquisition-driven capital structure [4]</w:t>
      </w:r>
    </w:p>
    <w:p>
      <w:pPr>
        <w:spacing w:before="40" w:after="40"/>
        <w:ind w:left="283"/>
      </w:pPr>
      <w:r>
        <w:rPr>
          <w:rFonts w:ascii="Calibri" w:hAnsi="Calibri"/>
          <w:b/>
          <w:color w:val="4A6B25"/>
          <w:sz w:val="20"/>
        </w:rPr>
        <w:t xml:space="preserve">2. </w:t>
      </w:r>
      <w:r>
        <w:rPr>
          <w:rFonts w:ascii="Calibri" w:hAnsi="Calibri"/>
          <w:b w:val="0"/>
          <w:color w:val="3A4A28"/>
          <w:sz w:val="20"/>
        </w:rPr>
        <w:t>Insurance market cyclicality — a soft premium environment could compress organic revenue growth below mid-single-digit guidance [1]</w:t>
      </w:r>
    </w:p>
    <w:p>
      <w:pPr>
        <w:spacing w:before="40" w:after="40"/>
        <w:ind w:left="283"/>
      </w:pPr>
      <w:r>
        <w:rPr>
          <w:rFonts w:ascii="Calibri" w:hAnsi="Calibri"/>
          <w:b/>
          <w:color w:val="4A6B25"/>
          <w:sz w:val="20"/>
        </w:rPr>
        <w:t xml:space="preserve">3. </w:t>
      </w:r>
      <w:r>
        <w:rPr>
          <w:rFonts w:ascii="Calibri" w:hAnsi="Calibri"/>
          <w:b w:val="0"/>
          <w:color w:val="3A4A28"/>
          <w:sz w:val="20"/>
        </w:rPr>
        <w:t>Integration execution risk from the $13B NFP acquisition and potential for margin dilution during the multi-year integration period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Insurance brokerage is a relationship-driven, advisory-intensive business where trust, regulatory expertise, and complex deal structuring create high barriers to AI disruption [1]. Aon's proprietary data across millions of risk placements is a competitive moat — AI enhances rather than replaces the broker's role in pricing, risk modeling, and claims analytics [2]. Commoditized personal lines face more AI threat than Aon's complex commercial and reinsurance segments. Regulatory complexity in 120+ jurisdictions provides additional insulation. AI Opportunity (1/1): Aon is actively deploying AI for risk analytics, catastrophe modeling, and ESG rating systems, positioning the firm as an AI-enabled advisor rather than an AI victim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Aon Q4 and Full Year 2025 Results — Aon Mediaroom / PRNewswire / Insurance Journal, January 30, 2026</w:t>
      </w:r>
    </w:p>
    <w:p>
      <w:pPr>
        <w:spacing w:before="20" w:after="20"/>
        <w:ind w:left="170"/>
      </w:pPr>
      <w:r>
        <w:rPr>
          <w:rFonts w:ascii="Calibri" w:hAnsi="Calibri"/>
          <w:b/>
          <w:color w:val="4A6B25"/>
          <w:sz w:val="15"/>
        </w:rPr>
        <w:t xml:space="preserve">2. </w:t>
      </w:r>
      <w:r>
        <w:rPr>
          <w:rFonts w:ascii="Calibri" w:hAnsi="Calibri"/>
          <w:b w:val="0"/>
          <w:color w:val="3A4A28"/>
          <w:sz w:val="17"/>
        </w:rPr>
        <w:t>Aon Leadership and Governance — aon.com; Glassdoor Reviews (3.8/5, 8,700+ reviews); March 2026 leadership appointments</w:t>
      </w:r>
    </w:p>
    <w:p>
      <w:pPr>
        <w:spacing w:before="20" w:after="20"/>
        <w:ind w:left="170"/>
      </w:pPr>
      <w:r>
        <w:rPr>
          <w:rFonts w:ascii="Calibri" w:hAnsi="Calibri"/>
          <w:b/>
          <w:color w:val="4A6B25"/>
          <w:sz w:val="15"/>
        </w:rPr>
        <w:t xml:space="preserve">3. </w:t>
      </w:r>
      <w:r>
        <w:rPr>
          <w:rFonts w:ascii="Calibri" w:hAnsi="Calibri"/>
          <w:b w:val="0"/>
          <w:color w:val="3A4A28"/>
          <w:sz w:val="17"/>
        </w:rPr>
        <w:t>Aon ESG Advisory, Environmental Policy, and Impact Report 2025 — aon.com</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AON (Aon plc), retrieved April 27,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