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APA</w:t>
      </w:r>
      <w:r>
        <w:rPr>
          <w:rFonts w:ascii="Calibri" w:hAnsi="Calibri"/>
          <w:b/>
          <w:color w:val="1A2010"/>
          <w:sz w:val="40"/>
        </w:rPr>
        <w:t xml:space="preserve">  APA Corporation</w:t>
      </w:r>
    </w:p>
    <w:p>
      <w:pPr>
        <w:spacing w:after="120"/>
      </w:pPr>
      <w:r>
        <w:rPr>
          <w:rFonts w:ascii="Calibri" w:hAnsi="Calibri"/>
          <w:b/>
          <w:color w:val="6E8450"/>
          <w:sz w:val="18"/>
        </w:rPr>
        <w:t>GROWTH SLEEVE · 2026-03-28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APA Corporation is an independent energy company that explores for, develops, and produces natural gas, crude oil, and natural gas liquids. The company operates in the United States (Permian Basin), Egypt, and the North Sea, with exploration activities in Suriname and Uruguay. Founded in 1954, APA completed its acquisition of Callon Petroleum in 2024.</w:t>
      </w:r>
    </w:p>
    <w:p>
      <w:r>
        <w:rPr>
          <w:rFonts w:ascii="Calibri" w:hAnsi="Calibri"/>
          <w:b/>
          <w:color w:val="6E8450"/>
          <w:sz w:val="18"/>
        </w:rPr>
        <w:t>1,791 Employees · https://www.apacorp.com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APA completed the transformative Callon Petroleum acquisition in 2024, significantly expanding its Permian Basin footprint, and achieved $350M in run-rate cost savings two years ahead of schedule [1]. Egypt gas production surged 25% YoY in Q4, demonstrating successful international diversification. AI Deployment (0/2): No AI products or AI-driven revenue reported; the company uses traditional E&amp;P technology and operational efficiency measures [2]. Market Share (1/2): APA holds a meaningful position in the Permian Basin and is a significant operator in Egypt with ~540-550 MMcf/d gas production guidance, but is not a category leader in any basin or geography [1]. Pipeline (1/2): The GranMorgu development in Suriname Block 58 (with TotalEnergies) represents a significant exploration upside with ~$230M allocated in 2026, plus ~1,700 operated drilling locations providing 10+ years of inventory [1]. R&amp;D Intensity (1/1): E&amp;P companies invest through drilling and exploration capital rather than traditional R&amp;D; APA's $2.1B 2026 capital program and focus on operational technology positions it at or above peer levels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APA's stated purpose focuses on 'helping fulfill global energy needs' while 'creating value for all stakeholders' — a generic energy industry mission interchangeable with any E&amp;P peer [2]. The 'energy trilemma' framing (security, emissions, demand) shows awareness but lacks distinctive vision. Community Impact (1/2): APA links 20% of executive compensation to ESG goals including safety, emissions, freshwater use, and UN Sustainable Development Goals [3]. The company achieved its lowest-ever safety incident rates in 2023. However, the DOJ/EPA enforcement action for Clean Air Act violations at 422 well pads undercuts the narrative [3]. Employee Retention (1/2): CEO Christmann has led since 2015 (11-year tenure), and the company describes a culture that 'empowers every employee to make decisions' with challenging and rewarding work [2]. Lean team of 1,791 employees suggests operational efficiency. Insider Buying (1/2): Christmann maintains significant equity exposure, but no evidence of meaningful net insider buying was found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APA presents a strong financial profile with D/E of 68.7% (near the 70% target), ROE of 25.3%, and profit margin of 16.5% [1][4]. Forward P/E of 13.3x is attractively valued. Net debt ended 2025 at ~$4.0B, down $1.4B YoY, with interest expense reduced ~$80M [1]. Free cash flow of $1.96B supports the $1.00/share dividend (2.25% yield) and ongoing debt reduction toward the $3.0B target. The revenue decline of -28% YoY reflects commodity price weakness and production management, dragging down the score. Proved reserves surpassed 1.0B BOE with 160%+ reserve replacement ratio [1]. Liquidity floor easily cleared at $321.7M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APA under CEO Christmann demonstrates some infinite game characteristics — 11-year CEO tenure, commitment to the 'energy trilemma' vision, and willingness to make long-term bets like Suriname exploration. However, the company's focus on shareholder returns (63% of FCF returned in 2025), cost-cutting, and quarterly production metrics reflects a predominantly financial optimization mindset rather than a cause-driven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APA articulates an energy trilemma framework — achieving energy security, reducing emissions, and meeting rising demand — but this is an industry-wide talking point rather than a distinctive Just Cause [2]. The company's strategic decisions are primarily driven by capital allocation optimization and shareholder returns rather than a transformative vision for energy. CEO Christmann's 11-year tenure provides continuity but the purpose hasn't been tested through crisis in a way that validates it as a competitive advantage.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APA's lean team of 1,791 employees and culture that 'empowers every employee to make decisions' suggests reasonable trust [2]. CEO Christmann's 11-year tenure provides leadership stability. The company achieved its lowest-ever safety incident rates in 2023, suggesting operational discipline and worker safety investment [3]. The Callon Petroleum integration was executed with leadership restructuring. No major labor disputes or cultural red flags identified.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APA frames competition in traditional E&amp;P terms — capital efficiency, cost per BOE, and production growth. The Suriname partnership with TotalEnergies shows willingness to collaborate, but competitive language is primarily about 'outperforming' on returns and costs rather than learning from rivals [1]. No evidence of management explicitly acknowledging worthy rivals in Sinek's framework.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APA has evolved from a primarily domestic US E&amp;P company to a diversified international operator with significant Egypt gas operations (25% production growth) and frontier exploration in Suriname [1]. The Callon Petroleum acquisition expanded the Permian footprint. The company adapted to the 2020 oil crash by cutting the dividend and restructuring. However, the core business model — finding and producing hydrocarbons — has not fundamentally changed.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APA committed ~$230M to Suriname GranMorgu exploration — a significant long-term bet with uncertain returns that demonstrates conviction in future optionality [1]. Achieving $350M cost savings two years ahead of schedule while maintaining production shows disciplined execution. However, the 10% reduction in 2026 capital spending to $2.1B and focus on returning 63% of FCF to shareholders prioritizes near-term returns over transformative investment.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APA trades at an attractive 13.3x forward P/E with strong fundamentals: D/E of 68.7%, ROE of 25.3%, and $1.96B free cash flow — returning 63% to shareholders through dividends and buybacks [1]. The company achieved $350M in cost savings two years ahead of schedule and raised the target to $450M for 2026, demonstrating operational discipline [1]. Egypt gas production surged 25% in Q4 and provides diversification from Permian Basin concentration. Proved reserves surpassed 1.0B BOE with 160%+ replacement ratio, and management sees 10+ years of drilling inventory [1]. Net debt declined $1.4B in 2025 toward the $3.0B target, significantly derisking the balance sheet. The Suriname GranMorgu development with TotalEnergies offers high-impact exploration upside.</w:t>
      </w:r>
    </w:p>
    <w:p>
      <w:pPr>
        <w:spacing w:after="120"/>
      </w:pPr>
      <w:r>
        <w:rPr>
          <w:rFonts w:ascii="Calibri" w:hAnsi="Calibri"/>
          <w:b w:val="0"/>
          <w:color w:val="3A4A28"/>
          <w:sz w:val="20"/>
        </w:rPr>
        <w:t>The bear case centers on commodity price vulnerability and declining production trajectories. Revenue fell 28% YoY and earnings declined 18.2% as oil prices weakened [1]. US adjusted production dropped 10% in Q4, and the 2026 guidance of 120-122K bopd suggests managed decline rather than growth. Thirteen analysts have revised earnings estimates downward for 2026, with quarterly EPS guided at just $0.56-0.61 — implying a significant earnings compression from current levels [1]. The DOJ/EPA enforcement action for Clean Air Act violations at 422 well pads ($4M penalty plus $5.5M remediation) creates regulatory risk and reputational damage [3]. The Suriname project carries execution risk with $230M annual spend and uncertain economics. Oil and gas companies face structural long-term demand risk from the energy transition, and APA's lack of diversification into renewables limits its optionality.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Suriname GranMorgu development progress with TotalEnergies — successful appraisal could unlock a world-class offshore resource and materially rerate the stock [1]</w:t>
      </w:r>
    </w:p>
    <w:p>
      <w:pPr>
        <w:spacing w:before="40" w:after="40"/>
        <w:ind w:left="283"/>
      </w:pPr>
      <w:r>
        <w:rPr>
          <w:rFonts w:ascii="Calibri" w:hAnsi="Calibri"/>
          <w:b/>
          <w:color w:val="4A6B25"/>
          <w:sz w:val="20"/>
        </w:rPr>
        <w:t xml:space="preserve">2. </w:t>
      </w:r>
      <w:r>
        <w:rPr>
          <w:rFonts w:ascii="Calibri" w:hAnsi="Calibri"/>
          <w:b w:val="0"/>
          <w:color w:val="3A4A28"/>
          <w:sz w:val="20"/>
        </w:rPr>
        <w:t>Achievement of $450M cost savings target in 2026, building on the $350M already delivered, driving margin expansion even in a lower commodity price environment [1]</w:t>
      </w:r>
    </w:p>
    <w:p>
      <w:pPr>
        <w:spacing w:before="40" w:after="40"/>
        <w:ind w:left="283"/>
      </w:pPr>
      <w:r>
        <w:rPr>
          <w:rFonts w:ascii="Calibri" w:hAnsi="Calibri"/>
          <w:b/>
          <w:color w:val="4A6B25"/>
          <w:sz w:val="20"/>
        </w:rPr>
        <w:t xml:space="preserve">3. </w:t>
      </w:r>
      <w:r>
        <w:rPr>
          <w:rFonts w:ascii="Calibri" w:hAnsi="Calibri"/>
          <w:b w:val="0"/>
          <w:color w:val="3A4A28"/>
          <w:sz w:val="20"/>
        </w:rPr>
        <w:t>Net debt reduction toward $3.0B target, potentially enabling dividend increases or accelerated buybacks as the balance sheet strengthens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sensitivity — a sustained oil price below $60/bbl would significantly compress free cash flow and force capital allocation trade-offs between dividends, buybacks, and development spending [1]</w:t>
      </w:r>
    </w:p>
    <w:p>
      <w:pPr>
        <w:spacing w:before="40" w:after="40"/>
        <w:ind w:left="283"/>
      </w:pPr>
      <w:r>
        <w:rPr>
          <w:rFonts w:ascii="Calibri" w:hAnsi="Calibri"/>
          <w:b/>
          <w:color w:val="4A6B25"/>
          <w:sz w:val="20"/>
        </w:rPr>
        <w:t xml:space="preserve">2. </w:t>
      </w:r>
      <w:r>
        <w:rPr>
          <w:rFonts w:ascii="Calibri" w:hAnsi="Calibri"/>
          <w:b w:val="0"/>
          <w:color w:val="3A4A28"/>
          <w:sz w:val="20"/>
        </w:rPr>
        <w:t>US production decline of 10% in Q4 2025 and managed decline trajectory may signal depleting core Permian inventory despite the Callon acquisition [1]</w:t>
      </w:r>
    </w:p>
    <w:p>
      <w:pPr>
        <w:spacing w:before="40" w:after="40"/>
        <w:ind w:left="283"/>
      </w:pPr>
      <w:r>
        <w:rPr>
          <w:rFonts w:ascii="Calibri" w:hAnsi="Calibri"/>
          <w:b/>
          <w:color w:val="4A6B25"/>
          <w:sz w:val="20"/>
        </w:rPr>
        <w:t xml:space="preserve">3. </w:t>
      </w:r>
      <w:r>
        <w:rPr>
          <w:rFonts w:ascii="Calibri" w:hAnsi="Calibri"/>
          <w:b w:val="0"/>
          <w:color w:val="3A4A28"/>
          <w:sz w:val="20"/>
        </w:rPr>
        <w:t>Regulatory and environmental liability — DOJ/EPA enforcement action at 422 well pads for Clean Air Act violations, with potential for additional enforcement as emissions monitoring intensifies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exploration and production is fundamentally a physical-world business — drilling wells, managing reservoirs, operating pipelines, and extracting hydrocarbons requires capital-intensive infrastructure that AI cannot replicate or substitute [1]. APA's operations span the Permian Basin, Egypt, and the North Sea across highly regulated environments with geopolitical complexity that AI cannot navigate autonomously. AI may actually increase demand for energy through data center proliferation, benefiting E&amp;P producers. No analyst has flagged AI as a disruption risk for APA's business model. AI Opportunity (0/1): APA does not generate revenue from AI products or services and has not disclosed any AI-related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APA Corporation Q4/FY2025 Earnings Release — $0.91 EPS (beat by 44%), $8.92B revenue, $1.0B+ FCF, February 2026</w:t>
      </w:r>
    </w:p>
    <w:p>
      <w:pPr>
        <w:spacing w:before="20" w:after="20"/>
        <w:ind w:left="170"/>
      </w:pPr>
      <w:r>
        <w:rPr>
          <w:rFonts w:ascii="Calibri" w:hAnsi="Calibri"/>
          <w:b/>
          <w:color w:val="4A6B25"/>
          <w:sz w:val="15"/>
        </w:rPr>
        <w:t xml:space="preserve">2. </w:t>
      </w:r>
      <w:r>
        <w:rPr>
          <w:rFonts w:ascii="Calibri" w:hAnsi="Calibri"/>
          <w:b w:val="0"/>
          <w:color w:val="3A4A28"/>
          <w:sz w:val="17"/>
        </w:rPr>
        <w:t>APA Corporation website — Leadership team, corporate culture, energy trilemma framework,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DOJ/EPA — Apache Corporation Clean Air Act settlement, $4M penalty plus $5.5M remediation for 422 well pads in NM/TX; APA 2024 Sustainability Report</w:t>
      </w:r>
    </w:p>
    <w:p>
      <w:pPr>
        <w:spacing w:before="20" w:after="20"/>
        <w:ind w:left="170"/>
      </w:pPr>
      <w:r>
        <w:rPr>
          <w:rFonts w:ascii="Calibri" w:hAnsi="Calibri"/>
          <w:b/>
          <w:color w:val="4A6B25"/>
          <w:sz w:val="15"/>
        </w:rPr>
        <w:t xml:space="preserve">4. </w:t>
      </w:r>
      <w:r>
        <w:rPr>
          <w:rFonts w:ascii="Calibri" w:hAnsi="Calibri"/>
          <w:b w:val="0"/>
          <w:color w:val="3A4A28"/>
          <w:sz w:val="17"/>
        </w:rPr>
        <w:t>Yahoo Finance — APA key statistics and financial data,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TipRanks — APA earnings analysis, 2026 guidance, analyst estimates,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