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APD</w:t>
      </w:r>
      <w:r>
        <w:rPr>
          <w:rFonts w:ascii="Calibri" w:hAnsi="Calibri"/>
          <w:b/>
          <w:color w:val="1A2010"/>
          <w:sz w:val="40"/>
        </w:rPr>
        <w:t xml:space="preserve">  Air Products and Chemicals, Inc.</w:t>
      </w:r>
    </w:p>
    <w:p>
      <w:pPr>
        <w:spacing w:after="120"/>
      </w:pPr>
      <w:r>
        <w:rPr>
          <w:rFonts w:ascii="Calibri" w:hAnsi="Calibri"/>
          <w:b/>
          <w:color w:val="6E8450"/>
          <w:sz w:val="18"/>
        </w:rPr>
        <w:t>DIVIDEND SLEEVE · 2026-04-26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Air Products and Chemicals is the world's largest supplier of hydrogen and a leading global industrial gases company, providing atmospheric gases (oxygen, nitrogen, argon), process gases (hydrogen, helium, carbon dioxide), and specialty gases. Founded in 1940, the company is investing heavily in clean hydrogen, blue/green ammonia, and carbon capture projects to enable the energy transition.</w:t>
      </w:r>
    </w:p>
    <w:p>
      <w:r>
        <w:rPr>
          <w:rFonts w:ascii="Calibri" w:hAnsi="Calibri"/>
          <w:b/>
          <w:color w:val="6E8450"/>
          <w:sz w:val="18"/>
        </w:rPr>
        <w:t>21,087 Employees · https://www.airproducts.com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Air Products has executed a strategic pivot from a diversified industrial gases company toward becoming the world's leading clean hydrogen producer, investing in mega-projects including NEOM green hydrogen in Saudi Arabia and Louisiana blue hydrogen [1]. Q1 FY2026 revenue of $3.10B grew 5.8% YoY with operating income up 14% driven by favorable business mix and pricing [1]. AI Deployment (1/2): The company deploys advanced process optimization and digital monitoring across its global plant network, though no AI-specific revenue or products are disclosed [2]. Market Share (2/2): Air Products is the world's largest supplier of hydrogen, operating in a global oligopoly with Air Liquide and Linde, with dominant positions in atmospheric gases, helium, and specialty gases. The company was awarded $140M+ in NASA liquid hydrogen supply contracts [1]. Pipeline (1/2): Multi-decade clean hydrogen projects coming online over the next several years, hydrogen-capable boiler burner technology, and next-gen portable hydrogen fueler showcased at the 2026 Canadian Hydrogen Convention [1]. Full-year FY2026 capex of ~$4B signals continued heavy investment. R&amp;D Intensity (1/1): Significant R&amp;D in hydrogen production, carbon capture, and gasification technologies, well above specialty chemical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Air Products' purpose — 'to bring people together to reimagine what's possible, collaborate and innovate solutions to the world's most significant energy and environmental sustainability challenges' — is specific, thoughtful, and validated by billions in clean hydrogen investment [1]. The purpose clearly shapes capital allocation decisions and differentiates from commodity industrial gas peers. Community Impact (1/2): The company earned Barron's 100 Most Sustainable Companies for seven consecutive years and ISS ESG Prime status, with a net-zero 2050 goal and active carbon capture strategy [3]. However, specific community investment programs and dollar amounts are not prominently disclosed. Employee Retention (1/2): Glassdoor rating of 3.9/5 with 72% recommending to a friend, though recent reviews cite cultural disruption under new leadership installed by an activist hedge fund — 'ripped the heart out of this company' [2]. Insider Buying (1/2): Mixed insider activity with 40,605 shares purchased vs. 70,180 shares sold in the last 6 months, resulting in net selling of 29,575 shares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 Products' infrastructure reflects a company in heavy investment mode for long-term clean hydrogen transformation. D/E of 102% is elevated but manageable for an asset-intensive industrial gas business with contractual revenue streams [4]. The GAAP financials are temporarily distorted — trailing ROE of -1.7% and profit margin of -2.7% reflect large impairment charges rather than operating weakness, as forward EPS of $14.12 (vs. trailing -$1.48) and maintained FY2026 guidance of $12.85-$13.15 EPS demonstrate [1]. Forward P/E of 21.4x is reasonable for a Dividend Aristocrat with 42+ years of consecutive dividend increases. Revenue growth is modest — 5.8% YoY with a -1.8% 3-year CAGR — reflecting portfolio optimization rather than organic decline [1]. The 2.4% dividend yield with 42+ consecutive years of increases and ~$7.16 annual payout provides income stability despite the 4.4% 5-year dividend growth CAGR lagging inflation [4]. Free cash flow is deeply negative (-$6.1B) due to $4B+ annual capex in hydrogen mega-projects. Liquidity floor cleared: $301.76 x 1.41M avg volume = $424.9M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Air Products demonstrates strong infinite game characteristics through its 85-year history, 42+ consecutive years of dividend increases, and multi-decade bet on clean hydrogen that sacrifices near-term free cash flow for long-term energy transition positioning. However, recent activist hedge fund involvement and leadership disruption introduce finite game pressures focused on near-term financial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 Products' purpose — reimagining solutions to the world's energy and sustainability challenges — is genuine and validated by billions in clean hydrogen investment, including the NEOM green hydrogen mega-project (2/3 points) [1]. The company has bet its future on enabling the energy transition, a cause bigger than quarterly earnings. However, the purpose has been tested by activist investors pushing for near-term financial optimization, creating tension between the long-term cause and shareholder pressure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 Products has 21,087 employees with generally stable organizational structure, and 72% of Glassdoor reviewers recommend the company (1/2 points) [2]. However, recent reviews cite cultural disruption under new leadership installed by an activist hedge fund, with employees describing the change as having 'ripped the heart out of the company.' Only 51% have a positive business outlook, suggesting trust erosion at the leadership level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 Products operates in a disciplined global oligopoly with Air Liquide and Linde, where the three companies respect each other's regional strengths and compete on technology, efficiency, and customer service rather than destructive pricing (1/1 point) [1]. The hydrogen race with competitors drives innovation in clean energy without zero-sum competitive rhetoric.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 Products has evolved from a pure industrial gas supplier to a clean energy company, making a multi-billion dollar bet on hydrogen production, carbon capture, and ammonia that represents incremental but meaningful strategic evolution (1/2 points) [1]. The $4B annual capex on hydrogen mega-projects demonstrates willingness to invest through uncertainty. However, the core industrial gas business remains intact — this is an expansion of the portfolio, not a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 Products invested billions in clean hydrogen projects (NEOM, Louisiana blue hydrogen) despite near-term free cash flow going deeply negative (-$6.1B), accepting short-term financial pain for long-term strategic positioning (1/2 points) [1]. Maintaining 42 consecutive years of dividend increases while investing $4B annually in capex shows capital allocation discipline. However, the activist hedge fund involvement suggests external pressure influenced recent leadership decisions rather than organic courage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 Products is the world's largest hydrogen supplier and a Dividend Aristocrat with 42+ consecutive years of dividend increases, trading at 21.4x forward EPS of $14.12 as the market recognizes the company's clean hydrogen transition [1]. Q1 FY2026 revenue grew 5.8% to $3.10B with operating income up 14% on favorable mix and pricing, and full-year EPS guidance of $12.85-$13.15 was maintained [1]. The company's multi-decade bet on clean hydrogen — including mega-projects in NEOM (green hydrogen) and Louisiana (blue hydrogen), $140M+ NASA supply contracts, and hydrogen boiler/fueler technology — positions APD as a primary beneficiary of the energy transition [1]. The 2.4% dividend yield, $67B market cap, and oligopolistic market structure (with Air Liquide and Linde) provide a stable foundation while hydrogen investments mature. ISS ESG Prime status and Barron's 100 Most Sustainable Companies recognition validate the sustainability strategy [3].</w:t>
      </w:r>
    </w:p>
    <w:p>
      <w:pPr>
        <w:spacing w:after="120"/>
      </w:pPr>
      <w:r>
        <w:rPr>
          <w:rFonts w:ascii="Calibri" w:hAnsi="Calibri"/>
          <w:b w:val="0"/>
          <w:color w:val="3A4A28"/>
          <w:sz w:val="20"/>
        </w:rPr>
        <w:t>The bear case centers on massive capital deployment risk, temporarily distorted financials, and activist-driven cultural disruption. Free cash flow is deeply negative at -$6.1B due to $4B+ annual capex in hydrogen mega-projects whose returns are uncertain and multi-decade in nature [4]. GAAP earnings are negative (trailing EPS -$1.48) from impairment charges, creating a disconnect between reported and normalized profitability. D/E of 102% reflects the leverage needed to fund the hydrogen buildout. Revenue has declined 1.8% on a 3-year CAGR basis as the company optimizes its portfolio, raising questions about core business momentum [4]. The activist hedge fund involvement has disrupted company culture — employee reviews describe demoralization and loss of institutional identity under new leadership [2]. Dividend growth of only 4.4% over 5 years lags inflation-adjusted targets. Clean hydrogen economics remain uncertain — green hydrogen costs must decline significantly to achieve commercial viability without subsidies, creating a scenario where billions in capex may not generate adequate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Clean hydrogen mega-projects (NEOM green hydrogen, Louisiana blue hydrogen) coming online over the next several years with multi-decade take-or-pay contracts [1]</w:t>
      </w:r>
    </w:p>
    <w:p>
      <w:pPr>
        <w:spacing w:before="40" w:after="40"/>
        <w:ind w:left="283"/>
      </w:pPr>
      <w:r>
        <w:rPr>
          <w:rFonts w:ascii="Calibri" w:hAnsi="Calibri"/>
          <w:b/>
          <w:color w:val="4A6B25"/>
          <w:sz w:val="20"/>
        </w:rPr>
        <w:t xml:space="preserve">2. </w:t>
      </w:r>
      <w:r>
        <w:rPr>
          <w:rFonts w:ascii="Calibri" w:hAnsi="Calibri"/>
          <w:b w:val="0"/>
          <w:color w:val="3A4A28"/>
          <w:sz w:val="20"/>
        </w:rPr>
        <w:t>Operating income up 14% YoY in Q1 FY2026 on favorable mix and pricing, with normalized EPS guidance of $12.85-$13.15 demonstrating underlying business strength [1]</w:t>
      </w:r>
    </w:p>
    <w:p>
      <w:pPr>
        <w:spacing w:before="40" w:after="40"/>
        <w:ind w:left="283"/>
      </w:pPr>
      <w:r>
        <w:rPr>
          <w:rFonts w:ascii="Calibri" w:hAnsi="Calibri"/>
          <w:b/>
          <w:color w:val="4A6B25"/>
          <w:sz w:val="20"/>
        </w:rPr>
        <w:t xml:space="preserve">3. </w:t>
      </w:r>
      <w:r>
        <w:rPr>
          <w:rFonts w:ascii="Calibri" w:hAnsi="Calibri"/>
          <w:b w:val="0"/>
          <w:color w:val="3A4A28"/>
          <w:sz w:val="20"/>
        </w:rPr>
        <w:t>NASA liquid hydrogen contracts ($140M+) and hydrogen boiler/fueler technology validate expanding use cases beyond traditional industrial gas applications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Multi-billion dollar hydrogen capex with deeply negative free cash flow (-$6.1B) creates concentration risk if clean hydrogen economics fail to improve or subsidies are reduced [4]</w:t>
      </w:r>
    </w:p>
    <w:p>
      <w:pPr>
        <w:spacing w:before="40" w:after="40"/>
        <w:ind w:left="283"/>
      </w:pPr>
      <w:r>
        <w:rPr>
          <w:rFonts w:ascii="Calibri" w:hAnsi="Calibri"/>
          <w:b/>
          <w:color w:val="4A6B25"/>
          <w:sz w:val="20"/>
        </w:rPr>
        <w:t xml:space="preserve">2. </w:t>
      </w:r>
      <w:r>
        <w:rPr>
          <w:rFonts w:ascii="Calibri" w:hAnsi="Calibri"/>
          <w:b w:val="0"/>
          <w:color w:val="3A4A28"/>
          <w:sz w:val="20"/>
        </w:rPr>
        <w:t>Activist hedge fund-driven leadership change has disrupted company culture — only 51% of employees have a positive business outlook on Glassdoor [2]</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is negative (trailing EPS -$1.48) from impairment charges, and D/E of 102% leaves limited balance sheet flexibility if hydrogen projects face delays or cost overruns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 Products' core business — producing and delivering industrial gases (oxygen, nitrogen, argon, hydrogen) through massive physical infrastructure including air separation units, pipelines, and on-site plants — is structurally immune to AI disruption [1]. Industrial gas production requires capital-intensive physical plants, cryogenic processes, and pipeline networks that AI cannot replicate. The business operates under long-term take-or-pay contracts with essential industries (refining, chemicals, electronics, healthcare). AI data centers actually increase demand for Air Products' gases — semiconductor fabrication requires ultra-pure nitrogen, and hydrogen fuel cells are an emerging clean energy solution. AI Opportunity (1/1): The company's clean hydrogen production directly enables AI infrastructure through fuel cell power solutions and semiconductor supply chain gases, generating quantifiable revenue from AI-adjacent demand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 Products Q1 FY2026 Earnings Release — $3.10B revenue, 5.8% growth, operating income up 14%, FY2026 EPS guidance $12.85-$13.15, January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for Air Products — 3.9/5 rating, 72% recommend, activist-driven leadership concerns,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ISS ESG Prime Status, Barron's 100 Most Sustainable Companies (7th consecutive year),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APD (Air Products),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