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APG</w:t>
      </w:r>
      <w:r>
        <w:rPr>
          <w:rFonts w:ascii="Calibri" w:hAnsi="Calibri"/>
          <w:b/>
          <w:color w:val="1A2010"/>
          <w:sz w:val="40"/>
        </w:rPr>
        <w:t xml:space="preserve">  APi Group Corporation</w:t>
      </w:r>
    </w:p>
    <w:p>
      <w:pPr>
        <w:spacing w:after="120"/>
      </w:pPr>
      <w:r>
        <w:rPr>
          <w:rFonts w:ascii="Calibri" w:hAnsi="Calibri"/>
          <w:b/>
          <w:color w:val="6E8450"/>
          <w:sz w:val="18"/>
        </w:rPr>
        <w:t>GROWTH SLEEVE · 2026-04-13 · Inspire: 43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APi Group Corporation is a global, market-leading provider of safety, specialty and industrial services operating via two segments: Safety Services (fire protection, fire detection/suppression, electronic security, elevator/escalator) and Specialty Services. The company has grown by acquiring over 150 founder- and family-owned businesses under CEO Russ Becker, including the 2021 Chubb Fire &amp; Security transformation.</w:t>
      </w:r>
    </w:p>
    <w:p>
      <w:r>
        <w:rPr>
          <w:rFonts w:ascii="Calibri" w:hAnsi="Calibri"/>
          <w:b/>
          <w:color w:val="6E8450"/>
          <w:sz w:val="18"/>
        </w:rPr>
        <w:t>29,000 Employees · https://www.apigroupinc.com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Full-year 2025 net revenues of $7.9B (+12.7%) with Q4 record revenue of $2.12B (+13.8%) and Q4 Adjusted EBITDA of $295M (+21.9%) at a 13.9% margin [1][2]. Adjusted diluted EPS of $0.44 in Q4 (+29.4%) and record adjusted free cash flow of $836M at 80% EBITDA conversion [1]. AI Deployment (1/2): AI use in dispatch routing, predictive maintenance, and service analytics is emerging, but APG's moat is service density and tradesperson quality more than proprietary AI [4]. Market Share (2/2): Global #1/#2 position in fire protection inspection, testing and maintenance post-Chubb Fire &amp; Security; 200+ branch locations worldwide [5]. Pipeline (1/2): 14 acquisitions closed in 2025, robust M&amp;A pipeline across fire-life safety, electronic security, elevator and specialty services; 2026 guidance of $8.4-$8.6B revenue (5% organic growth midpoint) and Adjusted EBITDA of $1.14-$1.20B [1][2]. R&amp;D Intensity (0/1): Service-business R&amp;D is de minimis; moat is execution, density and the 'building great leaders' culture.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'Building Great Leaders' is more than a tagline — CEO Russ Becker has built a genuine leader-development program, highly selective leadership academy, and award-winning veteran hiring program that sits at the center of capital allocation decisions [4][5]. The safety services mission (protecting people, property, high-value assets) is tangible and lifesaving. Community Impact (1/2): 'Zero incident/zero accident' safety aspiration, expanded defensive driving and mental health programs, dash-camera rollout to 12,000+ teammates [5]. Employee Retention (1/2): Becker's 20+ year tenure plus M&amp;A cultural-fit discipline (personal site visits to diligence target-company culture) support retention; Sustainalytics rates ESG management as average [4][5]. Insider Buying (1/2): No unusual insider cluster surfaced, but consistent capital return and share repurchase support alignment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 profile is solid with upside. Full-year 2025 revenue of $7.9B (+12.7%) and record adjusted FCF of $836M (80% EBITDA conversion) create cash-flow firepower for both M&amp;A and deleveraging [1][2]. D/E of 90.14% is manageable given the FCF profile and Chubb integration legacy [6]. Trailing P/E of 125x looks optically high due to non-cash amortization and acquisition accounting, but forward P/E of 24.8x is reasonable given the 2026 EBITDA trajectory to $1.14-$1.20B (midpoint ~13.8% margin) [1][6]. No meaningful dividend (~$0 yield), so return profile is capital-appreciation driven. Market cap ~$17.7B with enterprise value ~$19.9B [6]. Liquidity floor easily cleared on $17.7B market cap. Q4 2025 organic growth and margin expansion show operating leverage is intact.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APG under Russ Becker plays an unusually genuine infinite game. The 'Building Great Leaders' ethos, disciplined cultural-fit M&amp;A diligence, and 20+ year CEO tenure all point to long-horizon compounding. The safety mission itself is infinite in character, and 150+ successful acquisitions show organizational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Protecting people, property and high-value assets through fire and life-safety services is a tangible, life-saving just cause [5]. 'Building Great Leaders' extends the cause internally — Becker has operationalized leadership development as a capital allocation principle, not a tagline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Becker's focus on culture, values and fit in every acquisition (personal site visits, dinners with owners) shows a trusting-teams philosophy embedded in deal diligence [4]. The leader development program, veteran hiring program, and extensive safety training reinforce a high-trust operating model [5].</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APG competes against Johnson Controls, Honeywell Building Technologies, Carrier, Siemens and regional specialists; publicly benchmarks against them on safety-services margins and M&amp;A discipline [1]. Not a deeply public worthy-rivals framing, but M&amp;A discipline itself is implicit rival-awareness.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Chubb Fire &amp; Security acquisition was a genuine existential pivot, doubling the company and making it global [5]. 14 additional acquisitions in 2025 plus a continuing 2026 pipeline across adjacent service lines (electronic security, elevator/escalator) shows ongoing flexibility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Committing to a zero-incident safety aspiration, heavy leader-development investment, and prioritizing culture fit over deal multiples in a private-equity-competitive M&amp;A market requires principled conviction [4][5]. 2026 guidance of 5% organic growth plus continued M&amp;A shows sustained leading-from-the-front.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APi Group is a global leader in fire protection, life-safety and specialty services with a disciplined M&amp;A flywheel and a genuinely durable culture under CEO Russ Becker [4][5]. Full-year 2025 revenue of $7.9B (+12.7%) with Q4 Adjusted EBITDA of $295M (+21.9%) at a 13.9% margin and record adjusted FCF of $836M (80% EBITDA conversion) demonstrate operating leverage is compounding [1][2]. 2026 guidance of $8.4-$8.6B revenue (5% organic growth midpoint) and Adjusted EBITDA of $1.14-$1.20B extends the trajectory. The business is fundamentally AI-resistant — code-mandated fire protection requires licensed tradespeople — yet benefits from AI on dispatch, monitoring and back office. An Inspire Insight score of +43 (ALIGNED) with positive attributions across Employee Wellbeing, Ethical Sales, Fair Competition, and Hiring Ethics backs the cultural and faith-alignment thesis.</w:t>
      </w:r>
    </w:p>
    <w:p>
      <w:pPr>
        <w:spacing w:after="120"/>
      </w:pPr>
      <w:r>
        <w:rPr>
          <w:rFonts w:ascii="Calibri" w:hAnsi="Calibri"/>
          <w:b w:val="0"/>
          <w:color w:val="3A4A28"/>
          <w:sz w:val="20"/>
        </w:rPr>
        <w:t>Risks center on valuation, integration, and leverage. Trailing P/E of 125x signals meaningful non-cash amortization drag from the Chubb legacy, and while forward P/E of 24.8x is reasonable, it prices in continued execution on 14 annual acquisitions compounding without integration missteps [6]. D/E of ~90% with enterprise value ~$19.9B means M&amp;A flexibility depends on sustained FCF conversion; any cyclical weakness in specialty services (which grew 20.7% in Q4 2025 and could mean-revert) would pressure leverage [1][6]. Sustainalytics rates APG's ESG management as 'average,' not leading, although no material controversies surfaced. The business has effectively no dividend so there is no income support on pullbacks. HOLD at current levels; BUY would require either multiple compression or clearer evidence that 2026 organic growth is sustainably above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of $8.4-$8.6B revenue (5% organic growth) and Adjusted EBITDA of $1.14-$1.20B with margin expansion continuing [1]</w:t>
      </w:r>
    </w:p>
    <w:p>
      <w:pPr>
        <w:spacing w:before="40" w:after="40"/>
        <w:ind w:left="283"/>
      </w:pPr>
      <w:r>
        <w:rPr>
          <w:rFonts w:ascii="Calibri" w:hAnsi="Calibri"/>
          <w:b/>
          <w:color w:val="4A6B25"/>
          <w:sz w:val="20"/>
        </w:rPr>
        <w:t xml:space="preserve">2. </w:t>
      </w:r>
      <w:r>
        <w:rPr>
          <w:rFonts w:ascii="Calibri" w:hAnsi="Calibri"/>
          <w:b w:val="0"/>
          <w:color w:val="3A4A28"/>
          <w:sz w:val="20"/>
        </w:rPr>
        <w:t>Robust 2026 M&amp;A pipeline across fire-life safety, electronic security, elevator/escalator, and niche specialty services at accretive multiples [1][2]</w:t>
      </w:r>
    </w:p>
    <w:p>
      <w:pPr>
        <w:spacing w:before="40" w:after="40"/>
        <w:ind w:left="283"/>
      </w:pPr>
      <w:r>
        <w:rPr>
          <w:rFonts w:ascii="Calibri" w:hAnsi="Calibri"/>
          <w:b/>
          <w:color w:val="4A6B25"/>
          <w:sz w:val="20"/>
        </w:rPr>
        <w:t xml:space="preserve">3. </w:t>
      </w:r>
      <w:r>
        <w:rPr>
          <w:rFonts w:ascii="Calibri" w:hAnsi="Calibri"/>
          <w:b w:val="0"/>
          <w:color w:val="3A4A28"/>
          <w:sz w:val="20"/>
        </w:rPr>
        <w:t>Record $836M adjusted FCF at 80% EBITDA conversion providing firepower for deleveraging and continued bolt-on acquisitions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P/E of 125x and forward P/E of 24.8x price in continued flawless acquisition and integration execution, leaving little room for an integration miss [6]</w:t>
      </w:r>
    </w:p>
    <w:p>
      <w:pPr>
        <w:spacing w:before="40" w:after="40"/>
        <w:ind w:left="283"/>
      </w:pPr>
      <w:r>
        <w:rPr>
          <w:rFonts w:ascii="Calibri" w:hAnsi="Calibri"/>
          <w:b/>
          <w:color w:val="4A6B25"/>
          <w:sz w:val="20"/>
        </w:rPr>
        <w:t xml:space="preserve">2. </w:t>
      </w:r>
      <w:r>
        <w:rPr>
          <w:rFonts w:ascii="Calibri" w:hAnsi="Calibri"/>
          <w:b w:val="0"/>
          <w:color w:val="3A4A28"/>
          <w:sz w:val="20"/>
        </w:rPr>
        <w:t>D/E of ~90% with enterprise value ~$19.9B creates leverage sensitivity if Specialty Services (+20.7% in Q4 2025) mean-reverts cyclically [1][6]</w:t>
      </w:r>
    </w:p>
    <w:p>
      <w:pPr>
        <w:spacing w:before="40" w:after="40"/>
        <w:ind w:left="283"/>
      </w:pPr>
      <w:r>
        <w:rPr>
          <w:rFonts w:ascii="Calibri" w:hAnsi="Calibri"/>
          <w:b/>
          <w:color w:val="4A6B25"/>
          <w:sz w:val="20"/>
        </w:rPr>
        <w:t xml:space="preserve">3. </w:t>
      </w:r>
      <w:r>
        <w:rPr>
          <w:rFonts w:ascii="Calibri" w:hAnsi="Calibri"/>
          <w:b w:val="0"/>
          <w:color w:val="3A4A28"/>
          <w:sz w:val="20"/>
        </w:rPr>
        <w:t>Sustainalytics rates ESG management as 'average' and APG has no dividend, meaning limited pullback support from income or quality-overlay buyers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Fire protection inspection, testing, maintenance, electronic security and elevator servicing are fundamentally boots-on-ground, code-mandated services delivered by licensed tradespeople — AI cannot replace physical fire-suppression installation or regulatory inspection [5]. Recurring service contracts and code compliance create durable revenue immune to AI disintermediation. AI Opportunity (1/1): AI can enhance dispatch optimization, predictive maintenance on connected fire/security systems, IoT-driven monitoring, and back-office productivity — APG's scale across 200+ locations is a natural platform for AI-driven density and utilization gains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APi Group Q4 and Full-Year 2025 Earnings Release — apigroupcorp.com / Motley Fool transcript, February 25, 2026</w:t>
      </w:r>
    </w:p>
    <w:p>
      <w:pPr>
        <w:spacing w:before="20" w:after="20"/>
        <w:ind w:left="170"/>
      </w:pPr>
      <w:r>
        <w:rPr>
          <w:rFonts w:ascii="Calibri" w:hAnsi="Calibri"/>
          <w:b/>
          <w:color w:val="4A6B25"/>
          <w:sz w:val="15"/>
        </w:rPr>
        <w:t xml:space="preserve">2. </w:t>
      </w:r>
      <w:r>
        <w:rPr>
          <w:rFonts w:ascii="Calibri" w:hAnsi="Calibri"/>
          <w:b w:val="0"/>
          <w:color w:val="3A4A28"/>
          <w:sz w:val="17"/>
        </w:rPr>
        <w:t>APi Group 2026 Initial Guidance Update — apigroupcorp.com Investor Relations, February 2026</w:t>
      </w:r>
    </w:p>
    <w:p>
      <w:pPr>
        <w:spacing w:before="20" w:after="20"/>
        <w:ind w:left="170"/>
      </w:pPr>
      <w:r>
        <w:rPr>
          <w:rFonts w:ascii="Calibri" w:hAnsi="Calibri"/>
          <w:b/>
          <w:color w:val="4A6B25"/>
          <w:sz w:val="15"/>
        </w:rPr>
        <w:t xml:space="preserve">3. </w:t>
      </w:r>
      <w:r>
        <w:rPr>
          <w:rFonts w:ascii="Calibri" w:hAnsi="Calibri"/>
          <w:b w:val="0"/>
          <w:color w:val="3A4A28"/>
          <w:sz w:val="17"/>
        </w:rPr>
        <w:t>APi Group 2023 Sustainability Report — apigroupinc.com</w:t>
      </w:r>
    </w:p>
    <w:p>
      <w:pPr>
        <w:spacing w:before="20" w:after="20"/>
        <w:ind w:left="170"/>
      </w:pPr>
      <w:r>
        <w:rPr>
          <w:rFonts w:ascii="Calibri" w:hAnsi="Calibri"/>
          <w:b/>
          <w:color w:val="4A6B25"/>
          <w:sz w:val="15"/>
        </w:rPr>
        <w:t xml:space="preserve">4. </w:t>
      </w:r>
      <w:r>
        <w:rPr>
          <w:rFonts w:ascii="Calibri" w:hAnsi="Calibri"/>
          <w:b w:val="0"/>
          <w:color w:val="3A4A28"/>
          <w:sz w:val="17"/>
        </w:rPr>
        <w:t>FMI Corp / Kraus-Anderson interviews with CEO Russ Becker on culture, M&amp;A fit and Built-In podcast, 2024-2025</w:t>
      </w:r>
    </w:p>
    <w:p>
      <w:pPr>
        <w:spacing w:before="20" w:after="20"/>
        <w:ind w:left="170"/>
      </w:pPr>
      <w:r>
        <w:rPr>
          <w:rFonts w:ascii="Calibri" w:hAnsi="Calibri"/>
          <w:b/>
          <w:color w:val="4A6B25"/>
          <w:sz w:val="15"/>
        </w:rPr>
        <w:t xml:space="preserve">5. </w:t>
      </w:r>
      <w:r>
        <w:rPr>
          <w:rFonts w:ascii="Calibri" w:hAnsi="Calibri"/>
          <w:b w:val="0"/>
          <w:color w:val="3A4A28"/>
          <w:sz w:val="17"/>
        </w:rPr>
        <w:t>APi Group Chubb Fire &amp; Security acquisition and company overview — apigroupinc.com</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StockAnalysis.com — APG market cap, P/E, D/E and cash-flow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