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APH</w:t>
      </w:r>
      <w:r>
        <w:rPr>
          <w:rFonts w:ascii="Calibri" w:hAnsi="Calibri"/>
          <w:b/>
          <w:color w:val="1A2010"/>
          <w:sz w:val="40"/>
        </w:rPr>
        <w:t xml:space="preserve">  Amphenol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58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Electronic Components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Amphenol is a global leader in interconnect solutions, designing and manufacturing electrical, electronic, and fiber optic connectors, sensors, and antenna systems. The company operates 130+ decentralized business units serving defense, communications, IT datacom, industrial, automotive, and mobile device markets across the Americas, Europe, and Asia.</w:t>
      </w:r>
    </w:p>
    <w:p>
      <w:r>
        <w:rPr>
          <w:rFonts w:ascii="Calibri" w:hAnsi="Calibri"/>
          <w:b/>
          <w:color w:val="6E8450"/>
          <w:sz w:val="18"/>
        </w:rPr>
        <w:t>170,000 Employees · https://www.amphenol.com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Amphenol is the 'silent architect of the AI era,' commanding an estimated 33% market share in AI data center interconnects with leadership in 800G and 1.6T interconnect systems and Linear Pluggable Optics [1]. The $10.5B CommScope CCS acquisition in January 2026 adds fiber-optic capabilities, expected to generate $4.1B in 2026 sales [2]. Revenue grew 52% YoY to $23.1B in 2025 with organic growth accelerating, demonstrating the company's ability to capture AI infrastructure demand across the full AI trifecta — extreme power, thermal management, and hyperspeed data.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Adam Norwitt, a 30-year Amphenol veteran appointed in 2009, has built a distinctive decentralized culture where 130+ business unit GMs have full P&amp;L responsibility, fostering entrepreneurial speed within Fortune 500 scale [1]. The 'Amphenolian' culture avoids bureaucracy while maintaining operational discipline, and Norwitt's recent elevation to Chairman tightens long-term cultural stewardship [2]. Innovation happens at the business-unit level close to customers, creating a self-reinforcing loop of growth, M&amp;A integration, and market responsiveness.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Amphenol's financial execution is exceptional — Q4 2025 adjusted operating margin reached 27.5%, EPS grew 77% YoY, and ROE of 36.9% reflects capital efficiency [1]. Revenue growth of 49.1% YoY is extraordinary, though partially acquisition-driven. However, D/E of 118.9% reflects the CommScope financing, and forward P/E of 23.9x demands sustained 25%+ growth to justify the premium [2]. Free cash flow of $3.3B provides strong capital return capacity, and the 0.81% dividend yield with 22.3% payout ratio is well-covered.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Amphenol exemplifies infinite game thinking through its unique decentralized culture that has compounded earnings at 21% annually for decades, disciplined M&amp;A strategy that acquires and integrates hundreds of businesses without losing cultural identity, and long-tenured leadership that prioritizes sustainable growth over quarterly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Amphenol's mission as the 'essential backbone of the digital age' — enabling everything from AI data centers to aircraft to medical devices — provides an enduring, expansive purpose [1]. The company's technology enables critical infrastructure across defense, healthcare, and communications.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decentralized culture with 130+ business unit GMs holding full P&amp;L authority represents the gold standard for trusting teams at scale [1]. Each unit operates with startup-like autonomy while leveraging corporate scale, and the model has successfully integrated hundreds of acquisitions without cultural dilution. Norwitt's 30-year tenure provides institutional continuity.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Amphenol competes with TE Connectivity, Molex, and CommScope (now partially integrated), using rivalry to sharpen its interconnect technology leadership [1]. The $10.5B CommScope acquisition shows willingness to convert a rival's best assets into competitive advantage.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Amphenol's diversification across defense, auto, IT, industrial, and mobile — plus its disciplined M&amp;A pipeline — provides extraordinary strategic flexibility [1]. The company can rapidly shift capital allocation toward the highest-growth end markets (currently AI/datacom) without organizational restructuring.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$10.5B CommScope CCS acquisition — Amphenol's largest deal ever — demonstrates bold capital allocation during a period of elevated valuation and uncertainty [2]. The decentralized model itself was a courageous departure from industry norms that continues to differentiate Amphenol after decades.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Amphenol is the essential physical infrastructure provider for the AI revolution, with 33% market share in AI data center interconnects and Q1 2026 guidance of $6.9-7.0B revenue representing 43-45% YoY growth [1]. The decentralized culture under CEO Norwitt has compounded earnings at 21% annually — superior to the S&amp;P 500's 16% — while maintaining 27.5% adjusted operating margins and 36.9% ROE [2]. The $10.5B CommScope CCS acquisition adds $4.1B in fiber-optic revenue and deepens the AI infrastructure moat. With analysts projecting 24% revenue growth and 30% earnings growth for full-year 2026, Amphenol combines rare growth quality with operational consistency.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cyclicality — at 23.9x forward earnings, any deceleration in AI capex spend could trigger a meaningful multiple compression, and the company's 118.9% D/E post-CommScope adds balance sheet risk [2]. The 49% revenue growth in 2025 benefited significantly from acquisitions, and organic growth normalization toward 15-20% could disappoint investors anchored to recent hyper-growth rates. Semiconductor supply chain disruption, tariff escalation on Chinese manufacturing, and potential AI capex pause by hyperscalers represent cyclical risks [1]. The stock trades 26% below its 52-week high, suggesting the market has partially de-rated growth expectations.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CommScope CCS integration adding $4.1B in 2026 revenue with margin accretion as Amphenol applies its decentralized model and cost discipline to the acquired fiber-optic business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 center capex acceleration through 2027 as hyperscalers expand infrastructure for next-generation AI training and inference, driving demand for 1.6T interconnects and power solutions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Defense and automotive electrification providing diversification growth engines, with Amphenol's sensor and connector technology essential for ADAS, EVs, and modern military platforms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capex cycle pause or slowdown by hyperscalers could reduce datacom revenue growth from 40%+ to single digits, compressing the premium valuation multiple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CommScope CCS integration risk — the $10.5B deal is Amphenol's largest, and margin dilution or cultural friction could weigh on profitability in the integration period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Tariff escalation on Chinese manufacturing (Amphenol has significant China production) could increase costs by 5-10% and force supply chain reorganization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Amphenol is the single largest beneficiary of AI infrastructure buildout, providing the physical interconnects that every AI data center requires [1]. The company's deep co-development partnerships with hyperscale cloud providers and semiconductor companies like NVIDIA make it an essential, embedded partner rather than a replaceable supplier [2]. AI spending acceleration directly translates to Amphenol revenue growth through 800G/1.6T data center interconnects, power connectors, and thermal management solutions — AI is the company's primary growth engine.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Amphenol Q4 and Full Year 2025 Results; Q1 2026 Guidance,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APH key statistics and analyst estimates, accessed March 2026; Klover.ai — Amphenol AI Strategy Analysis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