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APLD</w:t>
      </w:r>
      <w:r>
        <w:rPr>
          <w:rFonts w:ascii="Calibri" w:hAnsi="Calibri"/>
          <w:b/>
          <w:color w:val="1A2010"/>
          <w:sz w:val="40"/>
        </w:rPr>
        <w:t xml:space="preserve">  Applied Digital Corporation</w:t>
      </w:r>
    </w:p>
    <w:p>
      <w:pPr>
        <w:spacing w:after="120"/>
      </w:pPr>
      <w:r>
        <w:rPr>
          <w:rFonts w:ascii="Calibri" w:hAnsi="Calibri"/>
          <w:b/>
          <w:color w:val="6E8450"/>
          <w:sz w:val="18"/>
        </w:rPr>
        <w:t>GROWTH SLEEVE · 2026-05-12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Applied Digital designs, develops, and operates next-generation data centers for AI and high-performance computing workloads. The company operates HPC hosting and cloud services segments, delivering GPU-as-a-Service and turnkey data center leases to hyperscalers under long-term contracts.</w:t>
      </w:r>
    </w:p>
    <w:p>
      <w:r>
        <w:rPr>
          <w:rFonts w:ascii="Calibri" w:hAnsi="Calibri"/>
          <w:b/>
          <w:color w:val="6E8450"/>
          <w:sz w:val="18"/>
        </w:rPr>
        <w:t>205 Employees · https://applieddigital.com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scores 2/3 — APLD transformed from Applied Blockchain (crypto mining) to a purpose-built AI data center company, a significant business model pivot that opened massive new revenue streams with Q3 FY2026 revenue of $126.6M beating the $76.6M estimate by 65% [1]. AI Deployment scores 2/2 — the company's entire product is AI infrastructure, with 600 MW of committed capacity purpose-built for GPU workloads under long-term take-or-pay leases, including $11B in CoreWeave leases and $5B investment-grade hyperscaler contracts [1]. Market Share Leadership scores 1/2 — APLD is an emerging player in AI data centers but competes against larger incumbents like Equinix and Digital Realty. Product Pipeline scores 1/2 — 600 MW across two Polaris Forge campuses under construction for calendar 2026-2027, plus advanced discussions for three additional 900 MW sites [1]. R&amp;D Intensity scores 1/1 with proprietary waterless cooling technology differentiating from competitors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scores 2/4 — Applied Digital's mission to 'unleash the power of accelerated compute' for a smarter future is specific to its market niche but not deeply inspirational or distinctive beyond the AI hype cycle [2]. Community &amp; Charitable Impact scores 1/2 — the Polaris Forge model creates economic opportunities in underserved rural communities (Jamestown and Ellendale, ND) and locates facilities near renewable energy sources, though this is primarily a cost optimization strategy [1]. Employee Retention scores 0/2 — with only 205 employees and no retention data available, scoring conservatively; the recent COO hire from Honeywell (Laura Laltrello) suggests talent attraction but provides no retention evidence [2]. Insider Buying scores 1/2 — CEO Wes Cummins co-founded the company and maintains significant ownership, signaling alignment but no specific recent net buying data available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10 growth weight units. Strengths: revenue growth of 139.3% YoY (1.0/1.0) and exceptional multi-year revenue CAGR (1.0/1.0) as the company scales from near-zero to $126.6M quarterly revenue [1]. D/E of 110% scores 0.83 — elevated but manageable for capital-intensive construction phase. Weaknesses: negative ROE of -5.6% (0.0/1.0 at 2x weight), negative profit margin of -59.5% (0.0/1.0), and deeply negative forward P/E of -63.7 indicating no near-term profitability path (0.0/1.0) [3]. PEG of 1.83 scores 0.59 at 2x weight. The company is pre-profit with $687M+ in debt funding two simultaneous campus constructions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Applied Digital demonstrates meaningful infinite game orientation through its crypto-to-AI transformation, 15-year lease structures, and patient capital deployment in underserved rural communities. The co-founder-led team provides strategic continuity, though the company's youth and extreme execution risk introduce finite-game pressures around capital raising and quarterly loss management [1][2].</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APLD's vision of democratizing access to AI compute while creating economic opportunities in underserved rural communities represents a genuine cause that extends beyond pure profit maximization [2]. The Polaris Forge model explicitly combines technological progress with community development in places like Jamestown and Ellendale, ND. However, the cause has not been tested through crisis or multiple leadership transitions — the company is too young to have earned a 3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January 2026 appointment of co-founder Jason Zhang as President reflects internal trust and continuity, and COO Laura Laltrello's recruitment from Honeywell brings operational credibility [2]. However, with only 205 employees managing multi-billion-dollar construction projects across multiple states, the organization is too small and new to demonstrate the kind of trust-based culture Sinek looks for. No employee sentiment data is available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APLD competes with Equinix, Digital Realty, and CoreWeave for hyperscaler contracts. The company's differentiation through waterless cooling and rural community locations shows competitive self-awareness, and management frames competition in terms of capability and differentiation rather than market share warfare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transformation from Applied Blockchain (crypto mining infrastructure) to Applied Digital (AI data centers) is a textbook example of existential flexibility — abandoning the crypto mining identity to capture the superior AI infrastructure opportunity while preserving core competencies in power management and data center operations [1]. This pivot was driven by strategic vision rather than desperation, as the company recognized AI's structural demand advantage over crypto's cyclicality.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While committing to 600 MW of simultaneous construction while still deeply unprofitable requires conviction, this is more venture-stage risk-taking than the Sinek-defined courage of sacrificing short-term earnings for long-term capability [1]. APLD has no earnings to sacrifice — the company is pre-profit by necessity, not by choice. True courage to lead requires demonstrated willingness to forgo available profits, which APLD has not yet had the opportunity to demonstrate.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Applied Digital is a high-conviction AI infrastructure play with $16B in prospective lease revenue across 600 MW of committed capacity. Q3 FY2026 revenue of $126.6M massively beat the $76.6M consensus estimate, and the company's existing Jamestown (106 MW) and Ellendale (180 MW) facilities are operating at full capacity [1]. Two Polaris Forge campuses under simultaneous construction will bring 600 MW online through calendar 2026-2027, with lease revenues already ramping from the first 100 MW data center after $1B+ investment.</w:t>
      </w:r>
    </w:p>
    <w:p>
      <w:pPr>
        <w:spacing w:after="120"/>
      </w:pPr>
      <w:r>
        <w:rPr>
          <w:rFonts w:ascii="Calibri" w:hAnsi="Calibri"/>
          <w:b w:val="0"/>
          <w:color w:val="3A4A28"/>
          <w:sz w:val="20"/>
        </w:rPr>
        <w:t>The bear case is execution risk at scale — building two 300 MW campuses simultaneously with 205 employees and $687M+ in debt creates vulnerability to construction delays, supply chain bottlenecks (transformers, cooling components), and cost overruns [1]. The -59.5% profit margin and negative forward P/E of -63.7 reflect a company years from self-sustaining profitability. CoreWeave customer concentration creates cascading risk if that customer faces its own financial stress. At $44.59 per share ($12.7B market cap), the stock prices in significant future success — any deceleration in AI infrastructure spending would amplify losses given APLD's heavy fixed-cost structure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Polaris Forge 1 and Forge 2 campus completions through calendar 2026-2027, with lease revenue recognition accelerating as capacity comes online [1]</w:t>
      </w:r>
    </w:p>
    <w:p>
      <w:pPr>
        <w:spacing w:before="40" w:after="40"/>
        <w:ind w:left="283"/>
      </w:pPr>
      <w:r>
        <w:rPr>
          <w:rFonts w:ascii="Calibri" w:hAnsi="Calibri"/>
          <w:b/>
          <w:color w:val="4A6B25"/>
          <w:sz w:val="20"/>
        </w:rPr>
        <w:t xml:space="preserve">2. </w:t>
      </w:r>
      <w:r>
        <w:rPr>
          <w:rFonts w:ascii="Calibri" w:hAnsi="Calibri"/>
          <w:b w:val="0"/>
          <w:color w:val="3A4A28"/>
          <w:sz w:val="20"/>
        </w:rPr>
        <w:t>Potential announcement of additional 900 MW across three sites in advanced discussions, which would more than double the company's committed capacity [1]</w:t>
      </w:r>
    </w:p>
    <w:p>
      <w:pPr>
        <w:spacing w:before="40" w:after="40"/>
        <w:ind w:left="283"/>
      </w:pPr>
      <w:r>
        <w:rPr>
          <w:rFonts w:ascii="Calibri" w:hAnsi="Calibri"/>
          <w:b/>
          <w:color w:val="4A6B25"/>
          <w:sz w:val="20"/>
        </w:rPr>
        <w:t xml:space="preserve">3. </w:t>
      </w:r>
      <w:r>
        <w:rPr>
          <w:rFonts w:ascii="Calibri" w:hAnsi="Calibri"/>
          <w:b w:val="0"/>
          <w:color w:val="3A4A28"/>
          <w:sz w:val="20"/>
        </w:rPr>
        <w:t>Transition to positive EPS as construction phase matures into operational recurring revenue, with analysts projecting profitability inflection in FY2027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delays or supply chain bottlenecks for transformers, cooling, and GPUs could defer revenue recognition and increase cash burn beyond current $687M+ debt capacity [1]</w:t>
      </w:r>
    </w:p>
    <w:p>
      <w:pPr>
        <w:spacing w:before="40" w:after="40"/>
        <w:ind w:left="283"/>
      </w:pPr>
      <w:r>
        <w:rPr>
          <w:rFonts w:ascii="Calibri" w:hAnsi="Calibri"/>
          <w:b/>
          <w:color w:val="4A6B25"/>
          <w:sz w:val="20"/>
        </w:rPr>
        <w:t xml:space="preserve">2. </w:t>
      </w:r>
      <w:r>
        <w:rPr>
          <w:rFonts w:ascii="Calibri" w:hAnsi="Calibri"/>
          <w:b w:val="0"/>
          <w:color w:val="3A4A28"/>
          <w:sz w:val="20"/>
        </w:rPr>
        <w:t>CoreWeave customer concentration — majority of contracted revenue depends on a single counterparty that itself carries extreme leverage [1]</w:t>
      </w:r>
    </w:p>
    <w:p>
      <w:pPr>
        <w:spacing w:before="40" w:after="40"/>
        <w:ind w:left="283"/>
      </w:pPr>
      <w:r>
        <w:rPr>
          <w:rFonts w:ascii="Calibri" w:hAnsi="Calibri"/>
          <w:b/>
          <w:color w:val="4A6B25"/>
          <w:sz w:val="20"/>
        </w:rPr>
        <w:t xml:space="preserve">3. </w:t>
      </w:r>
      <w:r>
        <w:rPr>
          <w:rFonts w:ascii="Calibri" w:hAnsi="Calibri"/>
          <w:b w:val="0"/>
          <w:color w:val="3A4A28"/>
          <w:sz w:val="20"/>
        </w:rPr>
        <w:t>Negative profit margins (-59.5%) and negative forward P/E (-63.7) mean any slowdown in AI infrastructure spending would amplify losses given the heavy fixed-cost 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scores 8/9 (IMMUNE) — Applied Digital's entire business model is purpose-built to serve AI workloads; the company IS AI infrastructure, making it a direct beneficiary of AI demand rather than a potential victim [1]. Physical data center assets with 15-year take-or-pay leases provide durable contractual protection, and the regulatory, capital, and utility interconnection barriers to building large-scale AI data centers are substantial and growing. The 106 MW Jamestown and 180 MW Ellendale facilities are operating at full capacity [1]. AI Opportunity scores 1/1 — 100% of revenue is AI-driven, with $16B in prospective lease revenue across 600 MW of committed capacity and Q3 FY2026 revenue of $126.6M, nearly all from HPC hosting and cloud services for AI workloads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Applied Digital Q1-Q3 FY2026 Earnings Releases — ir.applieddigital.com, October 2025 through April 2026</w:t>
      </w:r>
    </w:p>
    <w:p>
      <w:pPr>
        <w:spacing w:before="20" w:after="20"/>
        <w:ind w:left="170"/>
      </w:pPr>
      <w:r>
        <w:rPr>
          <w:rFonts w:ascii="Calibri" w:hAnsi="Calibri"/>
          <w:b/>
          <w:color w:val="4A6B25"/>
          <w:sz w:val="15"/>
        </w:rPr>
        <w:t xml:space="preserve">2. </w:t>
      </w:r>
      <w:r>
        <w:rPr>
          <w:rFonts w:ascii="Calibri" w:hAnsi="Calibri"/>
          <w:b w:val="0"/>
          <w:color w:val="3A4A28"/>
          <w:sz w:val="17"/>
        </w:rPr>
        <w:t>Applied Digital Leadership and COO Appointment — Yahoo Finance, applieddigital.com,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APLD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