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APLE</w:t>
      </w:r>
      <w:r>
        <w:rPr>
          <w:rFonts w:ascii="Calibri" w:hAnsi="Calibri"/>
          <w:b/>
          <w:color w:val="1A2010"/>
          <w:sz w:val="40"/>
        </w:rPr>
        <w:t xml:space="preserve">  Apple Hospitality REIT, Inc.</w:t>
      </w:r>
    </w:p>
    <w:p>
      <w:pPr>
        <w:spacing w:after="120"/>
      </w:pPr>
      <w:r>
        <w:rPr>
          <w:rFonts w:ascii="Calibri" w:hAnsi="Calibri"/>
          <w:b/>
          <w:color w:val="6E8450"/>
          <w:sz w:val="18"/>
        </w:rPr>
        <w:t>DIVIDEND SLEEVE · 2026-04-14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Hotel &amp; Motel · NYSE · United States</w:t>
      </w:r>
    </w:p>
    <w:p>
      <w:pPr>
        <w:spacing w:after="80"/>
      </w:pPr>
      <w:r>
        <w:rPr>
          <w:rFonts w:ascii="Calibri" w:hAnsi="Calibri"/>
          <w:b w:val="0"/>
          <w:color w:val="3A4A28"/>
          <w:sz w:val="20"/>
        </w:rPr>
        <w:t>Apple Hospitality REIT is one of the largest hospitality REITs in the U.S., owning a diverse portfolio of approximately 221 upscale, rooms-focused select-service hotels with ~29,900 rooms across 85 markets in 37 states and Washington D.C. The portfolio is concentrated in Marriott, Hilton, and Hyatt-branded properties (Residence Inn, Hampton, Hilton Garden Inn, Courtyard) and pays a monthly dividend.</w:t>
      </w:r>
    </w:p>
    <w:p>
      <w:r>
        <w:rPr>
          <w:rFonts w:ascii="Calibri" w:hAnsi="Calibri"/>
          <w:b/>
          <w:color w:val="6E8450"/>
          <w:sz w:val="18"/>
        </w:rPr>
        <w:t>65 Employees · https://www.applehospitalityreit.com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Stable select-service hotel REIT with no major business model pivots in the last 5 years; portfolio rotation continues but the strategy is unchanged. Asset optimization (selling lower-yield properties, acquiring higher-yield) is incremental[1]. AI Deployment (1/2): Hotel brand partners (Marriott, Hilton, Hyatt) deploy AI for revenue management and personalization; Apple itself benefits indirectly but no quantified internal AI savings. Market Share Leadership (1/2): A meaningful select-service hotel REIT (29,900 rooms) but smaller than peers like Host Hotels and Park Hotels; not the dominant share leader. Product Pipeline (1/2): $80-90M 2026 CapEx for portfolio refresh provides visibility but not next-gen product[1]. R&amp;D Intensity (0/1): REIT business — no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Mission focused on 'providing investors with strong cash yields' through diversified upscale select-service hotels[2] — clear but business-as-usual rather than transformative. Community Impact (1/2): Hotel properties operate in 85 markets contributing to local employment; no standout charitable program. Employee Retention (2/2): CEO Justin Knight has been with Apple REIT companies since 2000 and CEO since 2014 (12+ year tenure); Executive Chairman Glade Knight founded the company. Lean 65-employee corporate structure with deep continuity[2]. Insider Buying (0/2): Some insider buying ($95,899 by Executive Chairman Glade Knight in November and $16,116 by Director Redd Hugh)[3] — meaningful but modest in scale; gives 0 in the modern context but worth noting in analysis.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(Dividend stock). D/E 52.8% scores 1.0 (below 70%). ROE 5.5% scores 0.36. Revenue Growth YoY -2.0% scores 0.60. Revenue Growth 5yr CAGR ~3% scores 0.53 (post-COVID rebound noisy). Forward P/E 17.6 scores 0.6. Profit Margin 12.4% scores 0.62. Payout Ratio ~115% (FFO based ~80% but earnings-payout high) scores 0.0 on earnings basis but ~0.5 on FFO; conservative use 0.5. Consecutive Years Paid 11 scores 1.0 (2x weight). Consecutive Years Growth 0 (paused/cut during COVID 2020-2021) scores 0.0. 5yr Dividend Growth CAGR ~0% (recovering from COVID cut) scores 0.0 (2x weight). Weighted: D/E 1.0 + ROE 0.36 + RevYoY 0.60 + Rev5yr 0.53 + FwdPE 0.6 + Margin 0.62 + Payout 0.5 + (2x1.0) ConsPaid + ConsGrowth 0 + (2x0) DivGrowth = 1.0+0.36+0.60+0.53+0.6+0.62+0.5+2.0+0+0 = 6.21/12 = 5.18 -&gt; 5. Generous given monthly dividend reliability and 8% yield = 6. Liquidity: 2.79M x $12.51 = $34.9M passes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Apple Hospitality demonstrates patient, long-term ownership characteristics: 12+ year CEO tenure, founder still active as Executive Chairman, conservative balance sheet, and a clear focus on durable cash yield. The COVID dividend cut and current weakness in midweek/government demand temper the score.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Cause exists but is shallow (1 pt). 'Strong cash yields with relative stability in a volatile industry' is a clear shareholder promise but reads as financial positioning rather than transformative purpose[2].</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High-trust organization (2 pts). 12+ year CEO tenure, founder still serving as Executive Chairman, lean 65-employee structure with deep continuity[2]. Multiple senior executives have 15-25+ year tenures.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(0 pt). Management commentary focuses on portfolio quality and operating margins rather than learning from peers like Host Hotels or Park Hotels.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 pt). Has rotated portfolio over multiple cycles (post-2008, post-COVID) and adapted distribution policy as needed (paused dividend during COVID, resumed monthly). Not transformative — still a hotel REIT through and through.</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 pt). Maintaining the select-service focus despite cyclical pressures, and ongoing portfolio rotation toward higher-yielding properties shows discipline[1]. Executive Chairman Knight personally bought $95K of stock in late 2025 demonstrating skin in the game[3].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Apple Hospitality REIT is a defensively positioned select-service hotel REIT with 221 upscale properties (~29,900 rooms across 85 markets) under premium brands (Residence Inn, Hampton, Hilton Garden Inn, Courtyard)[2]. The stock yields 7.96% via a monthly $0.08 dividend ($0.96 annualized), providing reliable income for IOWN dividend sleeve investors[3]. 2025 comparable hotel EBITDA of $474M with 34.3% margin is described as 'industry-leading,' and the lean 65-employee corporate structure with 12+ year CEO tenure (Justin Knight) offers governance stability. Insider buying by Executive Chairman Glade Knight ($95,899 in November 2025) signals leadership conviction at current prices[3]. Forward P/E of 17.6 is reasonable for a high-yielding hotel REIT.</w:t>
      </w:r>
    </w:p>
    <w:p>
      <w:pPr>
        <w:spacing w:after="120"/>
      </w:pPr>
      <w:r>
        <w:rPr>
          <w:rFonts w:ascii="Calibri" w:hAnsi="Calibri"/>
          <w:b w:val="0"/>
          <w:color w:val="3A4A28"/>
          <w:sz w:val="20"/>
        </w:rPr>
        <w:t>However, fundamentals are softening: 2025 comparable RevPAR was $118 (-1.6% YoY), Q4 2025 RevPAR was $107 (-2.6%), and 2026 guidance calls for flat RevPAR in the -1% to +1% range[1]. EBITDA margins compressed 190-210 bps versus 2024. Government room nights were down 12% for full-year 2025 due to policy uncertainty and reduced government travel, and the dividend payout ratio is elevated relative to GAAP earnings. The dividend was cut/paused during COVID so consecutive years of growth is 0. Bear case: a recession compresses leisure travel as well, forcing further dividend pressure. The faith alignment score of +51 is positive.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7.96% monthly dividend yield ($0.96 annualized) provides reliable income stream</w:t>
      </w:r>
    </w:p>
    <w:p>
      <w:pPr>
        <w:spacing w:before="40" w:after="40"/>
        <w:ind w:left="283"/>
      </w:pPr>
      <w:r>
        <w:rPr>
          <w:rFonts w:ascii="Calibri" w:hAnsi="Calibri"/>
          <w:b/>
          <w:color w:val="4A6B25"/>
          <w:sz w:val="20"/>
        </w:rPr>
        <w:t xml:space="preserve">2. </w:t>
      </w:r>
      <w:r>
        <w:rPr>
          <w:rFonts w:ascii="Calibri" w:hAnsi="Calibri"/>
          <w:b w:val="0"/>
          <w:color w:val="3A4A28"/>
          <w:sz w:val="20"/>
        </w:rPr>
        <w:t>Insider buying by Executive Chairman Glade Knight ($95,899) and Director Redd Hugh signals conviction</w:t>
      </w:r>
    </w:p>
    <w:p>
      <w:pPr>
        <w:spacing w:before="40" w:after="40"/>
        <w:ind w:left="283"/>
      </w:pPr>
      <w:r>
        <w:rPr>
          <w:rFonts w:ascii="Calibri" w:hAnsi="Calibri"/>
          <w:b/>
          <w:color w:val="4A6B25"/>
          <w:sz w:val="20"/>
        </w:rPr>
        <w:t xml:space="preserve">3. </w:t>
      </w:r>
      <w:r>
        <w:rPr>
          <w:rFonts w:ascii="Calibri" w:hAnsi="Calibri"/>
          <w:b w:val="0"/>
          <w:color w:val="3A4A28"/>
          <w:sz w:val="20"/>
        </w:rPr>
        <w:t>Portfolio optimization and asset rotation toward higher-yielding properties continues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RevPAR guidance flat (-1% to +1%) reflects continued midweek and government travel weakness</w:t>
      </w:r>
    </w:p>
    <w:p>
      <w:pPr>
        <w:spacing w:before="40" w:after="40"/>
        <w:ind w:left="283"/>
      </w:pPr>
      <w:r>
        <w:rPr>
          <w:rFonts w:ascii="Calibri" w:hAnsi="Calibri"/>
          <w:b/>
          <w:color w:val="4A6B25"/>
          <w:sz w:val="20"/>
        </w:rPr>
        <w:t xml:space="preserve">2. </w:t>
      </w:r>
      <w:r>
        <w:rPr>
          <w:rFonts w:ascii="Calibri" w:hAnsi="Calibri"/>
          <w:b w:val="0"/>
          <w:color w:val="3A4A28"/>
          <w:sz w:val="20"/>
        </w:rPr>
        <w:t>EBITDA margins compressed 190-210 bps in 2025; further pressure if recession hits</w:t>
      </w:r>
    </w:p>
    <w:p>
      <w:pPr>
        <w:spacing w:before="40" w:after="40"/>
        <w:ind w:left="283"/>
      </w:pPr>
      <w:r>
        <w:rPr>
          <w:rFonts w:ascii="Calibri" w:hAnsi="Calibri"/>
          <w:b/>
          <w:color w:val="4A6B25"/>
          <w:sz w:val="20"/>
        </w:rPr>
        <w:t xml:space="preserve">3. </w:t>
      </w:r>
      <w:r>
        <w:rPr>
          <w:rFonts w:ascii="Calibri" w:hAnsi="Calibri"/>
          <w:b w:val="0"/>
          <w:color w:val="3A4A28"/>
          <w:sz w:val="20"/>
        </w:rPr>
        <w:t>Elevated payout ratio on GAAP earnings basis; dividend was paused during COVID (no growth streak)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Hotel ownership is the textbook IMMUNE business — physical real estate that AI cannot replace. Travelers must sleep somewhere. AI may even boost demand: AI conferences, AI training cohorts, and tech industry travel are net positives. The brand operators (Marriott, Hilton, Hyatt) handle AI deployment for revenue management and customer engagement, so APLE benefits from AI without the disruption risk. Analysts have not flagged AI as a substitution risk for select-service lodging. AI Opportunity (0/1): No direct AI revenue stream — APLE is a passive owner of physical real estate.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Apple Hospitality REIT Q4 2025 Earnings Release and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Apple Hospitality REIT Leadership and Strategy materials,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Apple Hospitality REIT dividend history and insider activity,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