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APTV</w:t>
      </w:r>
      <w:r>
        <w:rPr>
          <w:rFonts w:ascii="Calibri" w:hAnsi="Calibri"/>
          <w:b/>
          <w:color w:val="1A2010"/>
          <w:sz w:val="40"/>
        </w:rPr>
        <w:t xml:space="preserve">  Aptiv PLC</w:t>
      </w:r>
    </w:p>
    <w:p>
      <w:pPr>
        <w:spacing w:after="120"/>
      </w:pPr>
      <w:r>
        <w:rPr>
          <w:rFonts w:ascii="Calibri" w:hAnsi="Calibri"/>
          <w:b/>
          <w:color w:val="6E8450"/>
          <w:sz w:val="18"/>
        </w:rPr>
        <w:t>GROWTH SLEEVE · 2026-04-15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Parts · NYSE · Ireland</w:t>
      </w:r>
    </w:p>
    <w:p>
      <w:pPr>
        <w:spacing w:after="80"/>
      </w:pPr>
      <w:r>
        <w:rPr>
          <w:rFonts w:ascii="Calibri" w:hAnsi="Calibri"/>
          <w:b w:val="0"/>
          <w:color w:val="3A4A28"/>
          <w:sz w:val="20"/>
        </w:rPr>
        <w:t>Aptiv PLC is a global technology company developing safer, greener, and more connected mobility solutions. Its portfolio spans advanced safety and user experience, autonomous mobility, and vehicle networking. On April 1, 2026, Aptiv completed the spinoff of its Electrical Distribution Systems business as VersaGen, leaving 'New Aptiv' focused on software-defined vehicle architecture, ADAS, and connectivity.</w:t>
      </w:r>
    </w:p>
    <w:p>
      <w:r>
        <w:rPr>
          <w:rFonts w:ascii="Calibri" w:hAnsi="Calibri"/>
          <w:b/>
          <w:color w:val="6E8450"/>
          <w:sz w:val="18"/>
        </w:rPr>
        <w:t>201,000 Employees · https://www.aptiv.com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Q4 2025 revenue of $5.2B grew 5% reported with adjusted EPS of $1.86 up 6% YoY [1]. New Aptiv pro-forma 2026 guidance of $12.8-$13.2B revenue (4% midpoint growth) with 18.6% EBITDA margin reflects a more focused, higher-margin portfolio [1]. AI Deployment (2/2): Aptiv uses proprietary generative AI tools across the software development lifecycle and deploys AI/ML in autonomous driving, perception, and vehicle connectivity systems [2]. Market Share (1/2): Leader in software-defined vehicle architecture but competes in ADAS against Mobileye (70% share) and Nvidia [2]. Pipeline (1/2): Post-spin focus on software-defined vehicle (SDV) platforms, non-auto adjacencies (aerospace, industrial), and $35M growth investments in non-auto expansion [1]. R&amp;D Intensity (1/1): R&amp;D-heavy operating model supports premium content per vehicle.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'Safer, greener, more connected' mobility mission is credible, backed by exceeding 25% Scope 1/2 emissions reduction target and 50% renewable electricity sourcing by end of 2025 [3]. Community Impact (1/2): 201,000 global employees; generally strong supplier programs but auto manufacturing footprint carries labor intensity in emerging markets. Employee Retention (1/2): CEO Kevin Clark has led since 2015 with strategic continuity through the spin; talent competition for AI/SDV engineers is intense and a named risk [2]. Insider Buying (1/2): Buybacks support EPS but heavy use of cash for repurchase reflects capital return priority over insider accumulation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New Aptiv post-spin pro-forma 2026 EBITDA margin of 18.6% at $12.8-13.2B revenue is solid for an auto-tech supplier, with 30 bps margin expansion ex stranded costs from flow-through, material, and software mix [1]. Adjusted EPS guidance of $5.70-$6.10 post-spin with 4% revenue growth [1] puts the stock at a reasonable mid-teens forward P/E multiple. Leverage and free cash flow profile historically solid with improving balance sheet flexibility after the EDS separation. Revenue growth is cyclical (tied to global light-vehicle production) and 2025 growth was constrained by production headwinds [1]. Liquidity floor easily cleared given APTV's large-cap float and average daily volume of several million shares.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Aptiv demonstrates mixed infinite-game behavior. The strategic 2026 EDS spin-off (VersaGen) is a bold existential pivot toward software-defined vehicles, and sustainability targets have been exceeded. However, the core automotive OEM customer base is a cyclical, finite-margin industry where Aptiv often plays to win quarterly contracts rather than define a transformational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'Safer, greener, more connected mobility' is a credible cause supported by real emissions reduction progress [3] and SDV leadership [2], but the mission is shared across the auto-supplier peer set rather than uniquely Aptiv's.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Kevin Clark has run Aptiv since 2015 with a CHRO brought in from IBM specifically to drive growth &amp; inclusive culture [2]. Limited Glassdoor visibility in results, and intense engineering talent competition is a named risk.</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Aptiv explicitly acknowledges Nvidia and Mobileye as technology rivals with superior positions in ADAS compute and perception [2], using those competitive pressures to reshape the portfolio via the VersaGen spin and software investment.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April 2026 spinoff of EDS (VersaGen) is a major existential pivot, separating the lower-growth wiring harness business from the higher-growth SDV platform [1]. Pro-forma guidance intentionally accepts stranded costs ($50M) and growth investment ($35M) for strategic clarity.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Executing a complex separation during a period of weak auto production is courageous, but guidance of just 4% revenue growth at the midpoint [1] reflects a conservative, protect-margins posture rather than bold market-share offense.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Aptiv is a re-shaping auto-tech supplier. On April 1, 2026, the company completed the spinoff of its Electrical Distribution Systems business as VersaGen, leaving 'New Aptiv' focused on software-defined vehicles (SDV), ADAS, connectivity, and non-auto adjacencies [1]. Pro-forma 2026 guidance calls for $12.8-$13.2B revenue (+4% midpoint), 18.6% EBITDA margin, and $5.70-$6.10 adjusted EPS [1]. The thesis hinges on New Aptiv being valued as a higher-multiple SDV platform rather than a cyclical auto supplier. Sustainalytics rates APTV 'low ESG risk' (score 11, 3rd percentile) with exceedance of Scope 1/2 emissions targets [3]. Proprietary generative AI tools improve engineering productivity while the SDV portfolio benefits from rising software content per vehicle [2].</w:t>
      </w:r>
    </w:p>
    <w:p>
      <w:pPr>
        <w:spacing w:after="120"/>
      </w:pPr>
      <w:r>
        <w:rPr>
          <w:rFonts w:ascii="Calibri" w:hAnsi="Calibri"/>
          <w:b w:val="0"/>
          <w:color w:val="3A4A28"/>
          <w:sz w:val="20"/>
        </w:rPr>
        <w:t>The bear case is that New Aptiv still sells primarily to automotive OEMs in a cyclical, low-growth end market, and competes against better-positioned AI players. Mobileye holds roughly 70% ADAS market share and Nvidia dominates automotive AI compute [2], meaning Aptiv's perception/autonomy software must win share rather than defend incumbency. Guidance of only 4% revenue growth at the midpoint [1] plus $50M in stranded costs and $35M of non-auto investment headwind indicate a transition year, not an acceleration. Talent competition for AI/SDV engineers is a named risk in filings. Execution of the VersaGen separation, stranded-cost absorption, and non-auto expansion must all land for the stock to re-rate.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of the April 1, 2026 VersaGen spinoff and re-rating of 'New Aptiv' as a higher-multiple SDV platform rather than a cyclical wiring-harness supplier [1]</w:t>
      </w:r>
    </w:p>
    <w:p>
      <w:pPr>
        <w:spacing w:before="40" w:after="40"/>
        <w:ind w:left="283"/>
      </w:pPr>
      <w:r>
        <w:rPr>
          <w:rFonts w:ascii="Calibri" w:hAnsi="Calibri"/>
          <w:b/>
          <w:color w:val="4A6B25"/>
          <w:sz w:val="20"/>
        </w:rPr>
        <w:t xml:space="preserve">2. </w:t>
      </w:r>
      <w:r>
        <w:rPr>
          <w:rFonts w:ascii="Calibri" w:hAnsi="Calibri"/>
          <w:b w:val="0"/>
          <w:color w:val="3A4A28"/>
          <w:sz w:val="20"/>
        </w:rPr>
        <w:t>Execution against 18.6% pro-forma EBITDA margin and $5.70-$6.10 adjusted EPS guidance, with 30 bps underlying margin expansion from flow-through and software mix [1]</w:t>
      </w:r>
    </w:p>
    <w:p>
      <w:pPr>
        <w:spacing w:before="40" w:after="40"/>
        <w:ind w:left="283"/>
      </w:pPr>
      <w:r>
        <w:rPr>
          <w:rFonts w:ascii="Calibri" w:hAnsi="Calibri"/>
          <w:b/>
          <w:color w:val="4A6B25"/>
          <w:sz w:val="20"/>
        </w:rPr>
        <w:t xml:space="preserve">3. </w:t>
      </w:r>
      <w:r>
        <w:rPr>
          <w:rFonts w:ascii="Calibri" w:hAnsi="Calibri"/>
          <w:b w:val="0"/>
          <w:color w:val="3A4A28"/>
          <w:sz w:val="20"/>
        </w:rPr>
        <w:t>Non-auto expansion ($35M investment) into aerospace/industrial SDV adjacencies to diversify away from global light-vehicle production cycles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Cyclical auto OEM demand: 2025 growth was constrained by production headwinds and 2026 guidance assumes only easing, not acceleration [1]</w:t>
      </w:r>
    </w:p>
    <w:p>
      <w:pPr>
        <w:spacing w:before="40" w:after="40"/>
        <w:ind w:left="283"/>
      </w:pPr>
      <w:r>
        <w:rPr>
          <w:rFonts w:ascii="Calibri" w:hAnsi="Calibri"/>
          <w:b/>
          <w:color w:val="4A6B25"/>
          <w:sz w:val="20"/>
        </w:rPr>
        <w:t xml:space="preserve">2. </w:t>
      </w:r>
      <w:r>
        <w:rPr>
          <w:rFonts w:ascii="Calibri" w:hAnsi="Calibri"/>
          <w:b w:val="0"/>
          <w:color w:val="3A4A28"/>
          <w:sz w:val="20"/>
        </w:rPr>
        <w:t>Competitive AI encroachment: Mobileye (70% ADAS share) and Nvidia dominate AI compute/perception, limiting Aptiv's differentiation in premium ADAS [2]</w:t>
      </w:r>
    </w:p>
    <w:p>
      <w:pPr>
        <w:spacing w:before="40" w:after="40"/>
        <w:ind w:left="283"/>
      </w:pPr>
      <w:r>
        <w:rPr>
          <w:rFonts w:ascii="Calibri" w:hAnsi="Calibri"/>
          <w:b/>
          <w:color w:val="4A6B25"/>
          <w:sz w:val="20"/>
        </w:rPr>
        <w:t xml:space="preserve">3. </w:t>
      </w:r>
      <w:r>
        <w:rPr>
          <w:rFonts w:ascii="Calibri" w:hAnsi="Calibri"/>
          <w:b w:val="0"/>
          <w:color w:val="3A4A28"/>
          <w:sz w:val="20"/>
        </w:rPr>
        <w:t>Spin-off execution risk: $50M stranded costs and separation complexity could pressure near-term margins if synergies/divestiture benefits fall short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Aptiv is both an AI deployer and an AI target. The SDV architecture, vehicle networking, and sensor fusion portfolio benefits from AI-enabled design workflows and customer demand for AI-powered ADAS [2]. However, Mobileye's 70% ADAS market share and Nvidia's dominant compute position in automotive AI create real encroachment risk on perception and autonomy software [2]. Aptiv's structural position in wiring/electrical architecture (pre-spin) and SDV middleware is more defensible. AI Opportunity (1/1): Generative AI is documented to accelerate Aptiv's own software development productivity and the company is positioning the post-spin business as a software/services growth platform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Aptiv Q4 2025 Earnings Release and 2026 pro-forma guidance (New Aptiv post-VersaGen spin), February 2026</w:t>
      </w:r>
    </w:p>
    <w:p>
      <w:pPr>
        <w:spacing w:before="20" w:after="20"/>
        <w:ind w:left="170"/>
      </w:pPr>
      <w:r>
        <w:rPr>
          <w:rFonts w:ascii="Calibri" w:hAnsi="Calibri"/>
          <w:b/>
          <w:color w:val="4A6B25"/>
          <w:sz w:val="15"/>
        </w:rPr>
        <w:t xml:space="preserve">2. </w:t>
      </w:r>
      <w:r>
        <w:rPr>
          <w:rFonts w:ascii="Calibri" w:hAnsi="Calibri"/>
          <w:b w:val="0"/>
          <w:color w:val="3A4A28"/>
          <w:sz w:val="17"/>
        </w:rPr>
        <w:t>Aptiv AI and generative AI use cases; competitive context with Nvidia and Mobileye (auto-sens.com, aptiv.com, pitchgrade.com)</w:t>
      </w:r>
    </w:p>
    <w:p>
      <w:pPr>
        <w:spacing w:before="20" w:after="20"/>
        <w:ind w:left="170"/>
      </w:pPr>
      <w:r>
        <w:rPr>
          <w:rFonts w:ascii="Calibri" w:hAnsi="Calibri"/>
          <w:b/>
          <w:color w:val="4A6B25"/>
          <w:sz w:val="15"/>
        </w:rPr>
        <w:t xml:space="preserve">3. </w:t>
      </w:r>
      <w:r>
        <w:rPr>
          <w:rFonts w:ascii="Calibri" w:hAnsi="Calibri"/>
          <w:b w:val="0"/>
          <w:color w:val="3A4A28"/>
          <w:sz w:val="17"/>
        </w:rPr>
        <w:t>Sustainalytics ESG rating and Aptiv 2024/2025 Sustainability Report; emissions and renewable electricity milestones</w:t>
      </w:r>
    </w:p>
    <w:p>
      <w:pPr>
        <w:spacing w:before="20" w:after="20"/>
        <w:ind w:left="170"/>
      </w:pPr>
      <w:r>
        <w:rPr>
          <w:rFonts w:ascii="Calibri" w:hAnsi="Calibri"/>
          <w:b/>
          <w:color w:val="4A6B25"/>
          <w:sz w:val="15"/>
        </w:rPr>
        <w:t xml:space="preserve">4. </w:t>
      </w:r>
      <w:r>
        <w:rPr>
          <w:rFonts w:ascii="Calibri" w:hAnsi="Calibri"/>
          <w:b w:val="0"/>
          <w:color w:val="3A4A28"/>
          <w:sz w:val="17"/>
        </w:rPr>
        <w:t>Inspire Insight faith alignment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