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AQN</w:t>
      </w:r>
      <w:r>
        <w:rPr>
          <w:rFonts w:ascii="Calibri" w:hAnsi="Calibri"/>
          <w:b/>
          <w:color w:val="1A2010"/>
          <w:sz w:val="40"/>
        </w:rPr>
        <w:t xml:space="preserve">  Algonquin Power &amp; Utilities Corp.</w:t>
      </w:r>
    </w:p>
    <w:p>
      <w:pPr>
        <w:spacing w:after="120"/>
      </w:pPr>
      <w:r>
        <w:rPr>
          <w:rFonts w:ascii="Calibri" w:hAnsi="Calibri"/>
          <w:b/>
          <w:color w:val="6E8450"/>
          <w:sz w:val="18"/>
        </w:rPr>
        <w:t>DIVIDEND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Canada</w:t>
      </w:r>
    </w:p>
    <w:p>
      <w:pPr>
        <w:spacing w:after="80"/>
      </w:pPr>
      <w:r>
        <w:rPr>
          <w:rFonts w:ascii="Calibri" w:hAnsi="Calibri"/>
          <w:b w:val="0"/>
          <w:color w:val="3A4A28"/>
          <w:sz w:val="20"/>
        </w:rPr>
        <w:t>Algonquin Power &amp; Utilities is a North American regulated utility company providing water, electricity, and natural gas distribution services across the U.S. and Canada. Following the sale of its non-hydro renewable energy assets, the company is repositioning as a pure-play regulated utility focused on rate-base growth and operational efficiency.</w:t>
      </w:r>
    </w:p>
    <w:p>
      <w:r>
        <w:rPr>
          <w:rFonts w:ascii="Calibri" w:hAnsi="Calibri"/>
          <w:b/>
          <w:color w:val="6E8450"/>
          <w:sz w:val="18"/>
        </w:rPr>
        <w:t>4,000 Employees · https://algonquinpower.com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revenue of $630.7M (up 7.8% YoY) with EPS of $0.06 beating consensus of $0.04; full-year net earnings recovered to $208M ($0.27/share) from a prior-year loss, with adjusted EPS of $0.34 exceeding the high end of guidance by $0.02 [1]. However, this is a turnaround from significant losses, not sustained excellence. AI Deployment (0/2): No evidence of AI deployment or digital innovation initiatives specific to Algonquin; the utility sector broadly lags in AI adoption [2]. Market Share (1/2): Mid-sized regulated utility with $4.8B market cap serving ~1 million customers across multiple U.S. states and Canadian provinces; lacks the scale of larger peers like NextEra or Duke [4]. Pipeline (1/2): $3.2B regulated capital plan for 2026-2028 targeting 5-6% annual rate-base growth to $9.7B by 2028, with no equity issuance needed through 2027 [1]. R&amp;D Intensity (1/1): Investing $2.5B in replacing aging infrastructure and new utility assets, though this is capital deployment rather than R&amp;D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Algonquin's legacy mission of 'building a sustainable future for everyone' was undermined by the activist-driven sale of renewable energy assets, creating a credibility gap between stated purpose and strategic direction [3]. Community Impact (1/2): Serves approximately 1 million utility customers with essential water, electricity, and gas services; the pure-play utility model provides critical community infrastructure but lacks distinctive social impact beyond basic service delivery [3]. Employee Retention (1/2): Glassdoor 3.7/5 is above average with 78% recommending the company, though only 47% have positive business outlook; reviews cite high leadership turnover and lack of resourcing as negatives [2]. Insider Buying (0/2): The 64% dividend cut from ~$0.72 to $0.26 destroyed shareholder trust, and the management team has average tenure of just 0.8 years, signaling instability rather than conviction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Forward P/E of 15.2x is reasonable for a regulated utility but premium relative to the anemic 2.6% ROE and 7.4% profit margin [4]. D/E of 129.9% is elevated, though management used renewables sale proceeds to retire $1.6B in debt, improving financial flexibility [1]. Revenue growth of 7.8% YoY is solid for a utility. 2026 adjusted EPS guidance of $0.35-$0.37 represents modest 3-9% growth; rate-base CAGR of ~6% through 2028 provides visibility [1]. The 64% dividend cut in 2023 remains a red flag for income investors, with the current $0.26 annualized yield of 4.2% still at risk if earnings disappoint. Liquidity floor cleared: 5.0M avg vol × $6.14 = $30.9M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Algonquin is in the midst of a strategic identity crisis — forced by activist investor Starboard to abandon its renewable energy mission and reconstitute as a pure-play regulated utility under new CEO Rod West. The transformation may ultimately be the right strategic move, but the process has destroyed continuity of purpose, leadership, and shareholder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Algonquin's original just cause of 'building a sustainable future' through clean energy was compelling but has been abandoned under activist pressure, with the sale of non-hydro renewable assets fundamentally undermining the company's identity [3]. The new 'pure-play utility' positioning lacks the aspirational quality needed for a true just cause — providing regulated utility services is a business model, not a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3.7/5 with 78% recommendation rate suggests decent frontline culture, but management team average tenure of just 0.8 years and board tenure of 1.8 years signal profound leadership instability [2]. Reviews note 'dramatic changes in leadership structure and high turnover rate' — trust requires consistency that Algonquin currently lacks. Only 47% have positive business outlook.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Algonquin competes with larger regulated utilities like NextEra and Emera for capital and regulatory favor, but the company's strategic pivots suggest reactive positioning rather than learning from rivals [3]. The Starboard activist campaign effectively admitted that Algonquin had been misallocating capital relative to peers, which is a form of rival-informed correction, albeit forced externally.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sale of renewable energy assets and transformation to pure-play regulated utility represents existential flexibility, even if involuntary — the company recognized (under activist pressure) that its dual-platform model was destroying value and pivoted decisively [3]. Using $1.6B in sale proceeds to retire debt and the $3.2B capital plan for rate-base growth shows clear execution on the new strategy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Rod West brings credible utility experience from Entergy, but the leadership change was forced by activist investors rather than proactive board renewal [2][3]. The 64% dividend cut, while necessary for financial stability, was delayed too long and executed abruptly, eroding investor trust. Courage to lead requires acting before being forced to 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Algonquin Power is a turnaround story trading at $6.14 with a $3.2B regulated capital plan targeting 5-6% annual rate-base growth through 2028 and 2026 adjusted EPS guidance of $0.35-$0.37 — above consensus [1]. The company's transformation to a pure-play regulated utility under new CEO Rod West eliminates the renewable energy volatility that destroyed shareholder value, while $1.6B in debt retirement from asset sales improves the balance sheet [1][3]. Q4 2025 results showed momentum with revenue up 7.8% and full-year adjusted EPS of $0.34 beating the high end of guidance. The 4.2% dividend yield provides income support, and no equity issuance is planned through 2027, protecting existing shareholders from dilution [1].</w:t>
      </w:r>
    </w:p>
    <w:p>
      <w:pPr>
        <w:spacing w:after="120"/>
      </w:pPr>
      <w:r>
        <w:rPr>
          <w:rFonts w:ascii="Calibri" w:hAnsi="Calibri"/>
          <w:b w:val="0"/>
          <w:color w:val="3A4A28"/>
          <w:sz w:val="20"/>
        </w:rPr>
        <w:t>The bear case centers on execution risk from a company in the midst of fundamental transformation. The management team has average tenure of just 0.8 years under a CEO appointed only in March 2025, creating leadership uncertainty at a critical juncture [2]. D/E of 129.9% remains elevated despite $1.6B in debt retirement, and ROE of 2.6% is well below utility peer averages, suggesting the rate base is not yet earning adequate returns [4]. The 64% dividend cut in 2023 destroyed income investor trust and the stock has declined over 60% from its 2021 highs — recovery requires sustained execution that the current team has not yet proven. The downward revision of 2027 EPS guidance due to higher tax rates signals that the recovery path may be slower than initially projected [1]. Starboard's activist presence (9% stake, 3 board seats) creates ongoing governance uncertainty about strategic direction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Rate-base growth to $9.7B by 2028 (~6% CAGR) from $3.2B regulated capital investment, driving predictable earnings expansion without equity dilution [1]</w:t>
      </w:r>
    </w:p>
    <w:p>
      <w:pPr>
        <w:spacing w:before="40" w:after="40"/>
        <w:ind w:left="283"/>
      </w:pPr>
      <w:r>
        <w:rPr>
          <w:rFonts w:ascii="Calibri" w:hAnsi="Calibri"/>
          <w:b/>
          <w:color w:val="4A6B25"/>
          <w:sz w:val="20"/>
        </w:rPr>
        <w:t xml:space="preserve">2. </w:t>
      </w:r>
      <w:r>
        <w:rPr>
          <w:rFonts w:ascii="Calibri" w:hAnsi="Calibri"/>
          <w:b w:val="0"/>
          <w:color w:val="3A4A28"/>
          <w:sz w:val="20"/>
        </w:rPr>
        <w:t>New CEO Rod West's operational improvement initiatives targeting ROE expansion toward utility peer averages from the current anemic 2.6% [2]</w:t>
      </w:r>
    </w:p>
    <w:p>
      <w:pPr>
        <w:spacing w:before="40" w:after="40"/>
        <w:ind w:left="283"/>
      </w:pPr>
      <w:r>
        <w:rPr>
          <w:rFonts w:ascii="Calibri" w:hAnsi="Calibri"/>
          <w:b/>
          <w:color w:val="4A6B25"/>
          <w:sz w:val="20"/>
        </w:rPr>
        <w:t xml:space="preserve">3. </w:t>
      </w:r>
      <w:r>
        <w:rPr>
          <w:rFonts w:ascii="Calibri" w:hAnsi="Calibri"/>
          <w:b w:val="0"/>
          <w:color w:val="3A4A28"/>
          <w:sz w:val="20"/>
        </w:rPr>
        <w:t>Debt reduction trajectory following $1.6B retirement from renewables sale proceeds, potentially unlocking credit upgrades and lower borrowing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with management team average tenure of 0.8 years and CEO appointed just one year ago, creating execution uncertainty during critical transformation [2]</w:t>
      </w:r>
    </w:p>
    <w:p>
      <w:pPr>
        <w:spacing w:before="40" w:after="40"/>
        <w:ind w:left="283"/>
      </w:pPr>
      <w:r>
        <w:rPr>
          <w:rFonts w:ascii="Calibri" w:hAnsi="Calibri"/>
          <w:b/>
          <w:color w:val="4A6B25"/>
          <w:sz w:val="20"/>
        </w:rPr>
        <w:t xml:space="preserve">2. </w:t>
      </w:r>
      <w:r>
        <w:rPr>
          <w:rFonts w:ascii="Calibri" w:hAnsi="Calibri"/>
          <w:b w:val="0"/>
          <w:color w:val="3A4A28"/>
          <w:sz w:val="20"/>
        </w:rPr>
        <w:t>Elevated leverage with D/E of 129.9% constraining financial flexibility and leaving limited margin for error if rate cases or capital projects disappoint [4]</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concerns — the 64% cut in 2023 demonstrated willingness to slash payouts, and the 96% implied payout ratio on trailing earnings leaves little cushion for further cuts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Regulated utilities are among the most AI-insulated businesses — rate-regulated water, electricity, and gas distribution involves physical infrastructure with government-granted territorial monopolies that AI cannot displace [2]. Customer relationships are non-discretionary (essential services with no AI substitute), and regulatory frameworks ensure cost recovery plus allowed returns on invested capital. The utility sector has the lowest AI disruption exposure of any major industry. AI Opportunity (1/1): AI can enhance grid management, predictive maintenance on aging infrastructure, and customer service automation, providing incremental efficiency gains that flow directly to earnings given the cost-plus regulatory model [2]. Algonquin's $2.5B infrastructure replacement program could benefit from AI-optimized capital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Algonquin Power Q4 and Full-Year 2025 Results, earnings call highlights, FY2026-2027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Simply Wall St management analysis, Globe and Mail — Algonquin leadership and culture,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Globe and Mail, Yahoo Finance — Algonquin activist pressure, renewable asset sale, ESG controversy,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AQN (Algonquin Power),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