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ARAI</w:t>
      </w:r>
      <w:r>
        <w:rPr>
          <w:rFonts w:ascii="Calibri" w:hAnsi="Calibri"/>
          <w:b/>
          <w:color w:val="1A2010"/>
          <w:sz w:val="40"/>
        </w:rPr>
        <w:t xml:space="preserve">  Arrive AI Inc.</w:t>
      </w:r>
    </w:p>
    <w:p>
      <w:pPr>
        <w:spacing w:after="120"/>
      </w:pPr>
      <w:r>
        <w:rPr>
          <w:rFonts w:ascii="Calibri" w:hAnsi="Calibri"/>
          <w:b/>
          <w:color w:val="6E8450"/>
          <w:sz w:val="18"/>
        </w:rPr>
        <w:t>GROWTH SLEEVE · 2026-05-05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United States</w:t>
      </w:r>
    </w:p>
    <w:p>
      <w:pPr>
        <w:spacing w:after="80"/>
      </w:pPr>
      <w:r>
        <w:rPr>
          <w:rFonts w:ascii="Calibri" w:hAnsi="Calibri"/>
          <w:b w:val="0"/>
          <w:color w:val="3A4A28"/>
          <w:sz w:val="20"/>
        </w:rPr>
        <w:t>Arrive AI designs and implements a commercially viable smart mailbox and platform system. It offers an ALM network of Arrive Points smart lockers and mini-cross-docks for secure and asynchronous exchange points, connecting drones, robots, delivery providers, retailers, and consumers for last-mile autonomous logistics.</w:t>
      </w:r>
    </w:p>
    <w:p>
      <w:r>
        <w:rPr>
          <w:rFonts w:ascii="Calibri" w:hAnsi="Calibri"/>
          <w:b/>
          <w:color w:val="6E8450"/>
          <w:sz w:val="18"/>
        </w:rPr>
        <w:t>41 Employees · https://www.arriveai.com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company rebranded from Arrive Technology to Arrive AI in September 2024 and attended CES 2026 to showcase its autonomous delivery endpoint platform, but has generated only $113K in TTM revenue with no commercial scale achieved [1][2]. AI Deployment (1/2): Arrive AI is building AI-first products with proprietary AI IP to operate and optimize Arrive Points, with over 200 patent claims filed or awarded [2]. Market Share (1/2): The company operates in the nascent smart locker/autonomous delivery endpoint space with minimal competition but also minimal market adoption — quarterly revenue of just $15K suggests negligible market penetration [1]. Pipeline (1/2): CEO Dan O'Toole's 'Plai Book' framework outlines parallel development of AI-led products, but no specific timelines or revenue visibility for next-gen products [2]. R&amp;D Intensity (0/1): Operating margins of -138% indicate spending far exceeds revenue, but this reflects startup losses rather than deliberate R&amp;D investment at scale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Arrive AI's mission to transform last-mile delivery through secure, intelligent endpoints is clear and connects delivery infrastructure to autonomous logistics future, but remains unvalidated by execution [2]. Community Impact (0/2): With only 41 employees and negligible revenue, no evidence of meaningful community or charitable impact [3]. Employee Retention (1/2): The Plai Book emphasizes people-first hiring with company-wide equity participation, suggesting intentional culture-building, though the company is too small and young for retention data [2]. Insider Buying (1/2): CEO Dan O'Toole as founder-chairman has significant equity exposure, though no specific insider purchase data available beyond founder stakes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Arrive AI's financial profile reflects an early-stage company burning cash with minimal revenue. D/E of 253% is dangerously high for a company with $113K in annual revenue [1]. ROE of -17.2% reflects ongoing losses with net loss of $12.8M TTM on virtually no revenue. Profit margin is effectively 0% (operating margins -138%). No P/E ratio calculable as the company is deeply unprofitable. The sole positive is that liquidity floor passes: 9.7M avg volume x $0.75 = $7.3M daily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Arrive AI under founder-CEO Dan O'Toole demonstrates genuine long-term vision in building autonomous delivery infrastructure, but the company is too early-stage to have proven its infinite game credentials through adversity or multi-year execution.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Plai Book articulates a vision around transforming last-mile delivery through AI-powered endpoints, with operating values of Trust, Merit, Mutuality, Innovation, and Simplicity [2]. The cause is genuine but entirely unvalidated — $113K in TTM revenue after 6 years means the vision has not yet manifested in market reality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Company-wide equity participation and the Plai Book's people-first hiring model suggest intentional culture-building [2]. However, with only 41 employees and limited track record, there is insufficient evidence to assess whether high-trust teams exist beyond aspirational statements.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Arrive AI operates in the autonomous delivery endpoint space alongside Amazon (lockers), drone delivery companies, and established logistics firms. The company's CES 2026 attendance and engagement with industry leaders suggests awareness of the competitive landscape and willingness to learn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rebranded from Arrive Technology to Arrive AI in September 2024, signaling pivot toward AI-first positioning [2]. However, the company is too young and has not yet faced a genuine existential test requiring strategic reinvention — it has only one product concept that has not yet achieved commercial traction.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Dan O'Toole continues to invest in building the autonomous delivery platform despite years of minimal revenue, demonstrating willingness to pursue long-term vision over short-term results [2]. Filing 200+ patent claims while generating almost no revenue shows commitment to IP-first strategy over revenue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Arrive AI is a speculative pre-revenue technology company building smart locker endpoints for autonomous last-mile delivery. With only $113K in TTM revenue, 41 employees, and a $36M market cap, the company represents a high-risk venture bet on the future of autonomous logistics [1]. The 200+ patent claims and AI-first platform approach provide intellectual property protection, but the company faces existential funding risk with D/E of 253% and net losses of $12.8M annually against negligible revenue [1][2]. The stock trades at $0.75 as a penny stock with high daily volume (9.7M shares), suggesting speculative retail interest rather than institutional conviction.</w:t>
      </w:r>
    </w:p>
    <w:p>
      <w:pPr>
        <w:spacing w:after="120"/>
      </w:pPr>
      <w:r>
        <w:rPr>
          <w:rFonts w:ascii="Calibri" w:hAnsi="Calibri"/>
          <w:b w:val="0"/>
          <w:color w:val="3A4A28"/>
          <w:sz w:val="20"/>
        </w:rPr>
        <w:t>The bear case is overwhelming: six years after incorporation, the company has generated virtually no commercial revenue ($15K quarterly), suggesting either product-market fit failure or an extremely long development cycle [1]. The debt-to-equity ratio of 253% on a pre-revenue business creates near-term solvency concerns. Competition from Amazon Locker, drone delivery services, and traditional logistics companies with vastly superior capital resources threatens to commoditize the smart locker concept before Arrive AI can achieve scale. With operating margins of -138% and no clear path to profitability, the company requires continued capital raises that will dilute existing shareholders. The autonomous delivery market remains unproven at scale, and Arrive AI is a penny stock with high speculative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Potential commercial contracts following CES 2026 industry engagement and Plai Book execution framework deployment [2]</w:t>
      </w:r>
    </w:p>
    <w:p>
      <w:pPr>
        <w:spacing w:before="40" w:after="40"/>
        <w:ind w:left="283"/>
      </w:pPr>
      <w:r>
        <w:rPr>
          <w:rFonts w:ascii="Calibri" w:hAnsi="Calibri"/>
          <w:b/>
          <w:color w:val="4A6B25"/>
          <w:sz w:val="20"/>
        </w:rPr>
        <w:t xml:space="preserve">2. </w:t>
      </w:r>
      <w:r>
        <w:rPr>
          <w:rFonts w:ascii="Calibri" w:hAnsi="Calibri"/>
          <w:b w:val="0"/>
          <w:color w:val="3A4A28"/>
          <w:sz w:val="20"/>
        </w:rPr>
        <w:t>T-Mobile executive Michael Fitz joining the Board brings enterprise connectivity and distribution channel expertise [2]</w:t>
      </w:r>
    </w:p>
    <w:p>
      <w:pPr>
        <w:spacing w:before="40" w:after="40"/>
        <w:ind w:left="283"/>
      </w:pPr>
      <w:r>
        <w:rPr>
          <w:rFonts w:ascii="Calibri" w:hAnsi="Calibri"/>
          <w:b/>
          <w:color w:val="4A6B25"/>
          <w:sz w:val="20"/>
        </w:rPr>
        <w:t xml:space="preserve">3. </w:t>
      </w:r>
      <w:r>
        <w:rPr>
          <w:rFonts w:ascii="Calibri" w:hAnsi="Calibri"/>
          <w:b w:val="0"/>
          <w:color w:val="3A4A28"/>
          <w:sz w:val="20"/>
        </w:rPr>
        <w:t>200+ patent claims reaching grant status could provide licensing revenue or acquisition premium for the IP portfolio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Near-zero revenue ($113K TTM) after six years of operations raises fundamental product-market fit concerns and suggests commercial viability remains unproven [1]</w:t>
      </w:r>
    </w:p>
    <w:p>
      <w:pPr>
        <w:spacing w:before="40" w:after="40"/>
        <w:ind w:left="283"/>
      </w:pPr>
      <w:r>
        <w:rPr>
          <w:rFonts w:ascii="Calibri" w:hAnsi="Calibri"/>
          <w:b/>
          <w:color w:val="4A6B25"/>
          <w:sz w:val="20"/>
        </w:rPr>
        <w:t xml:space="preserve">2. </w:t>
      </w:r>
      <w:r>
        <w:rPr>
          <w:rFonts w:ascii="Calibri" w:hAnsi="Calibri"/>
          <w:b w:val="0"/>
          <w:color w:val="3A4A28"/>
          <w:sz w:val="20"/>
        </w:rPr>
        <w:t>D/E of 253% on a pre-revenue company creates solvency risk requiring continued dilutive capital raises to fund operations [1]</w:t>
      </w:r>
    </w:p>
    <w:p>
      <w:pPr>
        <w:spacing w:before="40" w:after="40"/>
        <w:ind w:left="283"/>
      </w:pPr>
      <w:r>
        <w:rPr>
          <w:rFonts w:ascii="Calibri" w:hAnsi="Calibri"/>
          <w:b/>
          <w:color w:val="4A6B25"/>
          <w:sz w:val="20"/>
        </w:rPr>
        <w:t xml:space="preserve">3. </w:t>
      </w:r>
      <w:r>
        <w:rPr>
          <w:rFonts w:ascii="Calibri" w:hAnsi="Calibri"/>
          <w:b w:val="0"/>
          <w:color w:val="3A4A28"/>
          <w:sz w:val="20"/>
        </w:rPr>
        <w:t>Competition from Amazon, FedEx, UPS, and drone delivery startups with vastly more capital could commoditize autonomous delivery endpoints before Arrive AI achieves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Arrive AI IS an AI company building autonomous delivery infrastructure, which means AI is an enabler rather than a threat. However, the company has no proven business model or revenue to protect — the risk is execution and funding rather than disruption. Physical smart locker hardware provides some moat, but the company's AI platform could be replicated by larger logistics players (Amazon, FedEx) with vastly more resources [2]. AI Opportunity (1/1): The company generates (minimal) revenue directly from AI-powered autonomous logistics endpoints and has 200+ patent claims protecting its AI 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Arrive AI (ARAI) Financial Data — TTM revenue $113K, net loss $12.8M, EPS -$0.40, Q3 2025 EPS -$0.07; Simply Wall St and Nasdaq, accessed May 2026</w:t>
      </w:r>
    </w:p>
    <w:p>
      <w:pPr>
        <w:spacing w:before="20" w:after="20"/>
        <w:ind w:left="170"/>
      </w:pPr>
      <w:r>
        <w:rPr>
          <w:rFonts w:ascii="Calibri" w:hAnsi="Calibri"/>
          <w:b/>
          <w:color w:val="4A6B25"/>
          <w:sz w:val="15"/>
        </w:rPr>
        <w:t xml:space="preserve">2. </w:t>
      </w:r>
      <w:r>
        <w:rPr>
          <w:rFonts w:ascii="Calibri" w:hAnsi="Calibri"/>
          <w:b w:val="0"/>
          <w:color w:val="3A4A28"/>
          <w:sz w:val="17"/>
        </w:rPr>
        <w:t>StockTitan — Arrive AI CEO Dan O'Toole 'Plai Book' announcement, CES 2026 attendance, T-Mobile executive Board appointment, and 200+ patent claims;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ARAI (Arrive AI),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