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ARBE</w:t>
      </w:r>
      <w:r>
        <w:rPr>
          <w:rFonts w:ascii="Calibri" w:hAnsi="Calibri"/>
          <w:b/>
          <w:color w:val="1A2010"/>
          <w:sz w:val="40"/>
        </w:rPr>
        <w:t xml:space="preserve">  Arbe Robotics Ltd.</w:t>
      </w:r>
    </w:p>
    <w:p>
      <w:pPr>
        <w:spacing w:after="120"/>
      </w:pPr>
      <w:r>
        <w:rPr>
          <w:rFonts w:ascii="Calibri" w:hAnsi="Calibri"/>
          <w:b/>
          <w:color w:val="6E8450"/>
          <w:sz w:val="18"/>
        </w:rPr>
        <w:t>GROWTH SLEEVE · 2026-04-01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Israel</w:t>
      </w:r>
    </w:p>
    <w:p>
      <w:pPr>
        <w:spacing w:after="80"/>
      </w:pPr>
      <w:r>
        <w:rPr>
          <w:rFonts w:ascii="Calibri" w:hAnsi="Calibri"/>
          <w:b w:val="0"/>
          <w:color w:val="3A4A28"/>
          <w:sz w:val="20"/>
        </w:rPr>
        <w:t>Arbe Robotics develops 4D imaging radar solutions for autonomous vehicles, ADAS, defense, and maritime applications. Its chipset delivers up to 100x higher resolution than competing radar systems, enabling real-time perception for L2+ through full autonomy. Founded in 2015, headquartered in Tel Aviv with offices in the US, Germany, and China.</w:t>
      </w:r>
    </w:p>
    <w:p>
      <w:r>
        <w:rPr>
          <w:rFonts w:ascii="Calibri" w:hAnsi="Calibri"/>
          <w:b/>
          <w:color w:val="6E8450"/>
          <w:sz w:val="18"/>
        </w:rPr>
        <w:t>150 Employees · https://arberobotics.com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Arbe has expanded from automotive ADAS into defense, maritime safety, and robotaxi verticals over the past 2 years, but revenue remains negligible at ~$1M annually with no successful commercial-scale product launch yet [1][2]. AI Deployment (1/2): The company integrates AI-based post-processing into its 4D imaging radar platform and is part of the NVIDIA sensor ecosystem for autonomous systems, though no quantified AI-driven revenue or cost savings exist [3]. Market Share (1/2): Arbe claims its imaging radar offers 100x more detail than competing radar solutions and has the industry's largest channel array, but market share remains near zero with minimal production deployments [3]. Pipeline (1/2): The company has announced robotaxi revenue expected in 2026, defense and maritime ramp, and Chinese OEM engagements, but timelines remain vague with meaningful revenue pushed to 2027 [1]. R&amp;D Intensity (1/1): As a pre-revenue semiconductor company, virtually all spending is R&amp;D-focused, well above industry average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Arbe's mission to 'lead a radar revolution enabling truly safe driver-assist systems and paving the way for fully autonomous driving' is clear and specific to their technology, but not yet validated by meaningful commercial traction [3]. Community Impact (0/2): No evidence of charitable giving, community programs, or foundation activity found for this 150-person pre-revenue startup. Employee Retention (1/2): The company promotes a 'supportive and flexible work culture' and retains specialized semiconductor and radar engineers; co-founder Marenko served as CEO from founding through April 2026, showing leadership continuity [3]. Insider Buying (1/2): The leadership transition elevating long-tenured CBO Ram Machness (8 years) to CEO suggests insider confidence; co-founder Marenko remains as President and board director rather than departing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Arbe is a pre-revenue company burning ~$28-31M annually with only $1M in 2025 revenue and $44.7M cash against $26.7M debt [1][2]. D/E of 65.3% is manageable, but ROE of -142.7% reflects deep operating losses. Revenue grew 362.6% YoY but from a negligible $0.3M base. Profit margin is effectively zero with -2,529% operating margin. Forward P/E is negative (-3.05x) as the company is years from profitability [4]. The $29M equity offering in early 2025 diluted shareholders significantly. Liquidity floor passes at $2.7M daily traded value, but barely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Arbe demonstrates genuine long-term commitment to its radar technology vision, having invested over a decade in R&amp;D before meaningful revenue. The leadership transition from founder to long-tenured CBO suggests succession planning for scale. However, the company's pivot to shorter-cycle markets (defense, maritime) alongside automotive reveals pragmatic survival instincts alongside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Arbe's cause — enabling truly safe autonomous driving through superior radar perception — is genuine, specific, and larger than the company. The founding team has pursued this vision since 2015 through years of pre-revenue development, and the expansion into defense and maritime safety extends the safety mission beyond automotive [3]. However, the cause hasn't been tested through market cycles at scale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8-year tenure of incoming CEO Ram Machness and the retention of co-founder Marenko as President (rather than departure) suggest organizational stability and trust [3]. The company promotes flexible work culture and retains specialized semiconductor engineers. However, the 15% headcount reduction in 2025 as part of cost restructuring creates uncertainty about team morale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Arbe's competitive language focuses on technical superiority — '100x more detail than competing radar' and 'largest channel array in the industry' — framing competition as a specs war to win rather than a learning opportunity [3]. No evidence of management acknowledging lidar or camera-first competitors as worthy rivals driving self-improvement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Arbe has shown meaningful flexibility by pivoting from a pure Western automotive OEM focus to Chinese OEMs, defense, homeland security, robotaxi, and maritime markets — a strategic shift driven by the reality that automotive OEM cycles are too long for the company's cash runway [1]. This adaptation serves the broader mission of radar-enabled safety while addressing near-term survival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invest heavily in R&amp;D for a decade before meaningful revenue shows genuine long-term conviction. The 2025 strategic pivot to diversify beyond Western automotive OEMs, accompanied by a 15% cost reduction, represents a difficult but necessary leadership call prioritizing survival and long-term positioning over the original automotive-first vision [1]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Arbe Robotics possesses genuinely differentiated 4D imaging radar technology offering 100x resolution improvement over competing radar systems, positioning it as critical sensor infrastructure for the autonomous vehicle, defense, and robotaxi markets [3]. The NVIDIA sensor ecosystem partnership validates the technology, and the pivot to shorter-cycle defense and maritime markets could generate near-term revenue while automotive programs mature. The new CEO Ram Machness brings 30 years of semiconductor and automotive experience with 8 years at Arbe, suggesting continuity of vision with commercial execution focus [3].</w:t>
      </w:r>
    </w:p>
    <w:p>
      <w:pPr>
        <w:spacing w:after="120"/>
      </w:pPr>
      <w:r>
        <w:rPr>
          <w:rFonts w:ascii="Calibri" w:hAnsi="Calibri"/>
          <w:b w:val="0"/>
          <w:color w:val="3A4A28"/>
          <w:sz w:val="20"/>
        </w:rPr>
        <w:t>The bear case is substantial: Arbe generated only ~$1M in 2025 revenue against ~$30M annual cash burn, with management guiding meaningful revenue growth not until 2027 [1]. At $75M market cap, the stock is a speculative bet on technology adoption timelines that have repeatedly slipped. The $29M equity offering diluted shareholders, and further dilution is likely before profitability. Forward P/E is meaningless (negative), and the company competes against well-funded lidar companies (Luminar, Innoviz) and camera-first approaches (Tesla, Mobileye) that could marginalize radar-only solutions. The sub-$1 stock price and $75M market cap create significant liquidity and delisting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Robotaxi-related revenue expected to begin in 2026 from Level 4 autonomous vehicle programs, potentially validating the technology at commercial scale [1]</w:t>
      </w:r>
    </w:p>
    <w:p>
      <w:pPr>
        <w:spacing w:before="40" w:after="40"/>
        <w:ind w:left="283"/>
      </w:pPr>
      <w:r>
        <w:rPr>
          <w:rFonts w:ascii="Calibri" w:hAnsi="Calibri"/>
          <w:b/>
          <w:color w:val="4A6B25"/>
          <w:sz w:val="20"/>
        </w:rPr>
        <w:t xml:space="preserve">2. </w:t>
      </w:r>
      <w:r>
        <w:rPr>
          <w:rFonts w:ascii="Calibri" w:hAnsi="Calibri"/>
          <w:b w:val="0"/>
          <w:color w:val="3A4A28"/>
          <w:sz w:val="20"/>
        </w:rPr>
        <w:t>Defense and maritime market expansion offering shorter sales cycles than automotive OEM programs, with revenue contributions expected in 2026 [1]</w:t>
      </w:r>
    </w:p>
    <w:p>
      <w:pPr>
        <w:spacing w:before="40" w:after="40"/>
        <w:ind w:left="283"/>
      </w:pPr>
      <w:r>
        <w:rPr>
          <w:rFonts w:ascii="Calibri" w:hAnsi="Calibri"/>
          <w:b/>
          <w:color w:val="4A6B25"/>
          <w:sz w:val="20"/>
        </w:rPr>
        <w:t xml:space="preserve">3. </w:t>
      </w:r>
      <w:r>
        <w:rPr>
          <w:rFonts w:ascii="Calibri" w:hAnsi="Calibri"/>
          <w:b w:val="0"/>
          <w:color w:val="3A4A28"/>
          <w:sz w:val="20"/>
        </w:rPr>
        <w:t>Chinese OEM partnerships leveraging China's faster autonomous vehicle adoption cycle and regulatory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risk — $44.7M cash against ~$30M annual burn rate gives approximately 18 months of runway, likely requiring additional dilutive financing before profitability [1][4]</w:t>
      </w:r>
    </w:p>
    <w:p>
      <w:pPr>
        <w:spacing w:before="40" w:after="40"/>
        <w:ind w:left="283"/>
      </w:pPr>
      <w:r>
        <w:rPr>
          <w:rFonts w:ascii="Calibri" w:hAnsi="Calibri"/>
          <w:b/>
          <w:color w:val="4A6B25"/>
          <w:sz w:val="20"/>
        </w:rPr>
        <w:t xml:space="preserve">2. </w:t>
      </w:r>
      <w:r>
        <w:rPr>
          <w:rFonts w:ascii="Calibri" w:hAnsi="Calibri"/>
          <w:b w:val="0"/>
          <w:color w:val="3A4A28"/>
          <w:sz w:val="20"/>
        </w:rPr>
        <w:t>Technology adoption risk — meaningful revenue pushed to 2027, with automotive OEM programs repeatedly delayed; lidar and camera-first perception stacks may win the autonomy stack war [1]</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 sub-$1 stock price and $75M market cap create compliance risk with minimum listing standards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Arbe's core business — physical radar semiconductor hardware for autonomous vehicles and defense — is inherently protected from AI software substitution. AI cannot replace the need for physical sensors; it actually increases demand for high-resolution radar as autonomy adoption grows [3]. The company is part of the NVIDIA autonomous vehicle sensor ecosystem, positioning it as AI infrastructure rather than an AI disruption target. However, the company faces competitive risk from lidar and camera-based perception stacks that AI software improvements could favor over radar. AI Opportunity (1/1): Arbe's radar processor chip incorporates AI-based post-processing for object detection and classification, and the entire product exists to serve the AI-driven autonomous vehicle market, generating direct (though minimal) AI-related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Arbe Robotics Q4 2025 Earnings Call — $458K Q4 revenue, $28-31M 2026 EBITDA loss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Arbe Robotics Q3 2025 Financial Results — $0.3M quarterly revenue, strategic pivot announcement, November 2025</w:t>
      </w:r>
    </w:p>
    <w:p>
      <w:pPr>
        <w:spacing w:before="20" w:after="20"/>
        <w:ind w:left="170"/>
      </w:pPr>
      <w:r>
        <w:rPr>
          <w:rFonts w:ascii="Calibri" w:hAnsi="Calibri"/>
          <w:b/>
          <w:color w:val="4A6B25"/>
          <w:sz w:val="15"/>
        </w:rPr>
        <w:t xml:space="preserve">3. </w:t>
      </w:r>
      <w:r>
        <w:rPr>
          <w:rFonts w:ascii="Calibri" w:hAnsi="Calibri"/>
          <w:b w:val="0"/>
          <w:color w:val="3A4A28"/>
          <w:sz w:val="17"/>
        </w:rPr>
        <w:t>Arbe Robotics corporate website and press releases — technology specifications, NVIDIA partnership, leadership bios,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ARBE,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