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ARCC</w:t>
      </w:r>
      <w:r>
        <w:rPr>
          <w:rFonts w:ascii="Calibri" w:hAnsi="Calibri"/>
          <w:b/>
          <w:color w:val="1A2010"/>
          <w:sz w:val="40"/>
        </w:rPr>
        <w:t xml:space="preserve">  Ares Capital Corporation</w:t>
      </w:r>
    </w:p>
    <w:p>
      <w:pPr>
        <w:spacing w:after="120"/>
      </w:pPr>
      <w:r>
        <w:rPr>
          <w:rFonts w:ascii="Calibri" w:hAnsi="Calibri"/>
          <w:b/>
          <w:color w:val="6E8450"/>
          <w:sz w:val="18"/>
        </w:rPr>
        <w:t>DIVIDEND SLEEVE · 2026-03-28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Ares Capital Corporation is the largest publicly traded business development company (BDC) in the United States with $31.2B in total assets. Externally managed by Ares Management ($622B AUM), ARCC provides direct loans and investments to private middle market companies across diverse sectors including software, healthcare, consumer, and financial services.</w:t>
      </w:r>
    </w:p>
    <w:p>
      <w:r>
        <w:rPr>
          <w:rFonts w:ascii="Calibri" w:hAnsi="Calibri"/>
          <w:b/>
          <w:color w:val="6E8450"/>
          <w:sz w:val="18"/>
        </w:rPr>
        <w:t>https://www.arescapitalcorp.com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ARCC grew its portfolio to $29.5B at fair value with record gross originations of $15.8B in 2025, adding 100+ new borrowers — a record — and expanding into specialized verticals (sports media, energy, consumer) [1]. However, the BDC business model has not fundamentally changed; growth is primarily scale expansion within the same direct lending framework. AI Deployment (1/2): Ares Management has reviewed 160+ AI use cases and deployed approximately 25 across operations, using AI for deal sourcing, portfolio monitoring, and credit underwriting efficiency [2]. Market Share (1/2): ARCC is the largest BDC by total assets ($31.2B) and benefits from Ares Management's $622B AUM platform for deal flow, proprietary sourcing, and co-investment capability, but the direct lending market is highly competitive with numerous well-capitalized players [1]. Pipeline (1/2): Management cited $1.4B in year-to-date 2026 commitments and a $2.2B backlog, with the ability to 'go on offense' using dry powder if dislocations arise [1]. R&amp;D Intensity (0/1): Not applicable to financial services; no meaningful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Ares Capital's stated objective is to 'source and invest in high-quality borrowers that need capital to achieve their business goals, which oftentimes can lead to economic growth and employment' [3]. This is clear and connects lending to a broader economic purpose, but it is not distinctive among BDC peers. Community Impact (1/2): Ares Management promotes philanthropy and community investment through its corporate responsibility programs, and ARCC's lending supports middle-market job creation, but specific charitable dollar amounts or foundation programs were not identified [3]. Employee Retention (0/2): ARCC is externally managed by Ares Management; no specific employee count, tenure, or retention data is available for the BDC entity itself [3]. Insider Buying (2/2): Significant net insider buying in early 2026 — CEO Schnabel purchased $478K in shares in February 2026, COO Markowicz purchased $288K, CFO Lem purchased $100K, and Director Henson purchased $77K, all at prices around $19.13-$19.29 [4]. President Miller purchased $933K in March 2025. Strong conviction signal across multiple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ARCC's financial profile reflects a well-managed BDC with strong income generation. FY2025 core EPS of $2.01 covered the $1.92 annual dividend, and spillover taxable income of $988M ($1.38/share) provides a distribution cushion [1]. Forward P/E of 9.1x is attractive, trading at 0.88x book value ($19.94 NAV). Profit margin of 42.6% and operating margin of 75.3% are strong for a leveraged lender [4]. D/E of 111.9% is typical for a BDC operating within regulatory leverage limits. Revenue growth of 4.5% YoY reflects moderating base rates after the 2022-2024 rate hike tailwind. The dividend has been paid for 22 consecutive years since 2004, though growth has stalled — $1.92/share in 2023, 2024, and 2025 — and the 5yr CAGR of 3.7% trails inflation. GAAP payout ratio of 103.2% reflects BDC pass-through requirements. Non-accruals at 1.8% of cost and average portfolio LTV of 44% indicate solid credit quality [1]. Liquidity floor cleared: 7.3M avg vol x $17.45 = $128M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Ares Capital benefits from Ares Management's long-term institution-building culture, with CEO Arougheti emphasizing discipline and conviction over 20+ years. The BDC model's inherent focus on multi-year credit relationships aligns with infinite game principles. However, the external management structure creates fee misalignment, and the BDC's distribution requirements limit reinvestment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Ares Management's purpose of being 'a catalyst for shared prosperity for stakeholders and communities' connects private credit to broader economic value creation — middle-market lending supports job growth and business expansion (2/3 points) [3]. Arougheti's 20+ year tenure building Ares from startup to $622B AUM demonstrates consistency of purpose, though the BDC structure is fundamentally a yield vehicle rather than a mission-driven enterprise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Arougheti fosters a collaborative culture emphasizing risk management, diversification, and disciplined underwriting across the Ares platform [2]. The firm's growth to $622B AUM with consistent leadership suggests organizational stability (1/2 points). However, ARCC is externally managed — the actual investment team works for Ares Management, creating potential fee-related conflicts that could erode trust between the BDC's shareholders and its manager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Arougheti acknowledges competitive dynamics constructively — at the BofA conference he noted opportunities arising from 'shifts in competitive behavior' and positioned Ares to 'go on offense' when competitors pull back (1/1 point) [2]. The firm's expansion into non-sponsored originations (50%+ growth) and specialized verticals demonstrates learning from market dynamics rather than purely defensive competitive posturing.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Ares Management has evolved from a pure direct lending shop to a $622B multi-strategy alternative asset manager spanning private credit, real estate, private equity, and infrastructure — a meaningful strategic evolution (1/2 points) [2]. ARCC specifically has expanded from traditional sponsored middle-market lending into specialized verticals (sports media, energy, software) and non-sponsored originations, showing adaptability within the BDC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Arougheti demonstrated conviction by publicly dismissing AI and private credit fears as 'odd' and 'frustrating' when the market was selling BDC stocks, maintaining that Ares was positioned to 'go on offense' during dislocations (1/2 points) [2]. The firm's continued expansion of origination capacity ($15.8B record in 2025) during uncertain macro conditions shows willingness to invest when others hesitate.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Ares Capital is the gold standard in BDC investing — the largest publicly traded BDC ($31.2B total assets) backed by Ares Management's $622B platform, trading at 0.88x book value ($19.94 NAV) with an 11% dividend yield and 9.1x forward P/E [1][4]. Record gross originations of $15.8B in 2025 with 100+ new borrowers added demonstrate the platform's competitive advantages in deal sourcing. Credit quality remains solid with non-accruals at 1.8% of cost, average LTV of 44%, and improving interest coverage (~2.2x) [1]. Spillover taxable income of $988M ($1.38/share) provides a substantial distribution cushion even if core EPS compresses. Multiple insider purchases in February 2026 — CEO, COO, CFO, and a director collectively buying $943K — signal strong management conviction at current levels [4]. The $2.2B pipeline backlog and $1.4B year-to-date 2026 commitments suggest continued origination momentum.</w:t>
      </w:r>
    </w:p>
    <w:p>
      <w:pPr>
        <w:spacing w:after="120"/>
      </w:pPr>
      <w:r>
        <w:rPr>
          <w:rFonts w:ascii="Calibri" w:hAnsi="Calibri"/>
          <w:b w:val="0"/>
          <w:color w:val="3A4A28"/>
          <w:sz w:val="20"/>
        </w:rPr>
        <w:t>The bear case centers on rate sensitivity and structural BDC limitations. Management guided a ~$0.10/share core EPS headwind in 2026 from declining base rates, and further Fed cuts could compress net investment income meaningfully — ARCC's floating-rate loan portfolio (~90%) is directly rate-sensitive [1]. GAAP EPS declined 24.9% YoY in Q4 2025 as the rate tailwind faded. The 24% software portfolio exposure faces AI disruption uncertainty despite management's dismissal of concerns; Seeking Alpha analysts have flagged 'SaaSpocalypse' risk in ARCC's tech lending book [3]. The external management structure with 20% incentive fees creates ongoing fee drag that competitors like internally-managed BDCs avoid. Dividend growth has stalled at $1.92/share for three consecutive years, and the 3.7% 5yr CAGR trails inflation. Trading at 0.88x book suggests the market is pricing in NAV erosion risk from potential credit deterioration in a slowing economy. The 103% GAAP payout ratio leaves minimal margin for error if credit losses spike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Origination momentum with $2.2B pipeline backlog and $1.4B year-to-date 2026 commitments, with Ares Management's $622B platform providing proprietary deal flow advantages unavailable to smaller BDCs [1]</w:t>
      </w:r>
    </w:p>
    <w:p>
      <w:pPr>
        <w:spacing w:before="40" w:after="40"/>
        <w:ind w:left="283"/>
      </w:pPr>
      <w:r>
        <w:rPr>
          <w:rFonts w:ascii="Calibri" w:hAnsi="Calibri"/>
          <w:b/>
          <w:color w:val="4A6B25"/>
          <w:sz w:val="20"/>
        </w:rPr>
        <w:t xml:space="preserve">2. </w:t>
      </w:r>
      <w:r>
        <w:rPr>
          <w:rFonts w:ascii="Calibri" w:hAnsi="Calibri"/>
          <w:b w:val="0"/>
          <w:color w:val="3A4A28"/>
          <w:sz w:val="20"/>
        </w:rPr>
        <w:t>Trading at 0.88x book value with 11% yield while multiple C-suite insiders purchased $943K in shares in February 2026, suggesting meaningful upside to NAV and distribution sustainability [4]</w:t>
      </w:r>
    </w:p>
    <w:p>
      <w:pPr>
        <w:spacing w:before="40" w:after="40"/>
        <w:ind w:left="283"/>
      </w:pPr>
      <w:r>
        <w:rPr>
          <w:rFonts w:ascii="Calibri" w:hAnsi="Calibri"/>
          <w:b/>
          <w:color w:val="4A6B25"/>
          <w:sz w:val="20"/>
        </w:rPr>
        <w:t xml:space="preserve">3. </w:t>
      </w:r>
      <w:r>
        <w:rPr>
          <w:rFonts w:ascii="Calibri" w:hAnsi="Calibri"/>
          <w:b w:val="0"/>
          <w:color w:val="3A4A28"/>
          <w:sz w:val="20"/>
        </w:rPr>
        <w:t>Expansion into specialized verticals (sports media, energy, digital infrastructure) and non-sponsored originations (50%+ growth) diversifies revenue sources beyond traditional sponsored middle-market lending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Base rate sensitivity — ~$0.10/share core EPS headwind guided for 2026 from rate declines, with further Fed cuts potentially compressing net investment income on the 90%+ floating-rate portfolio [1]</w:t>
      </w:r>
    </w:p>
    <w:p>
      <w:pPr>
        <w:spacing w:before="40" w:after="40"/>
        <w:ind w:left="283"/>
      </w:pPr>
      <w:r>
        <w:rPr>
          <w:rFonts w:ascii="Calibri" w:hAnsi="Calibri"/>
          <w:b/>
          <w:color w:val="4A6B25"/>
          <w:sz w:val="20"/>
        </w:rPr>
        <w:t xml:space="preserve">2. </w:t>
      </w:r>
      <w:r>
        <w:rPr>
          <w:rFonts w:ascii="Calibri" w:hAnsi="Calibri"/>
          <w:b w:val="0"/>
          <w:color w:val="3A4A28"/>
          <w:sz w:val="20"/>
        </w:rPr>
        <w:t>Software portfolio concentration (24% of assets) faces AI-driven disruption risk, where borrower revenue compression could increase non-accruals above the current 1.8% level [2][3]</w:t>
      </w:r>
    </w:p>
    <w:p>
      <w:pPr>
        <w:spacing w:before="40" w:after="40"/>
        <w:ind w:left="283"/>
      </w:pPr>
      <w:r>
        <w:rPr>
          <w:rFonts w:ascii="Calibri" w:hAnsi="Calibri"/>
          <w:b/>
          <w:color w:val="4A6B25"/>
          <w:sz w:val="20"/>
        </w:rPr>
        <w:t xml:space="preserve">3. </w:t>
      </w:r>
      <w:r>
        <w:rPr>
          <w:rFonts w:ascii="Calibri" w:hAnsi="Calibri"/>
          <w:b w:val="0"/>
          <w:color w:val="3A4A28"/>
          <w:sz w:val="20"/>
        </w:rPr>
        <w:t>Stalled dividend growth at $1.92/share for three consecutive years with 103% GAAP payout ratio, limiting the income growth that BDC investors depend on for total return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ARCC's core business — originating and managing direct loans to middle-market companies — involves relationship-based deal sourcing, complex credit underwriting, and legal structuring that AI cannot fully automate [2]. CEO Arougheti stated the software portfolio (24% of assets) has a 'very small percentage' with high AI disruption risk and called market fears 'odd,' noting AI creates opportunities in digital infrastructure, renewables, and transmission lending [2]. However, declining base rates are a more immediate earnings headwind (~$0.10/share in 2026), and AI-driven efficiency gains in fintech lending could compress BDC spreads over time. AI Opportunity (1/1): Ares Management has deployed ~25 AI use cases across operations for deal sourcing, portfolio monitoring, and credit analysis, generating measurable operational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Ares Capital Q4 2025 Earnings Release — $29.5B portfolio, $15.8B record originations, core EPS $2.01, February 2026</w:t>
      </w:r>
    </w:p>
    <w:p>
      <w:pPr>
        <w:spacing w:before="20" w:after="20"/>
        <w:ind w:left="170"/>
      </w:pPr>
      <w:r>
        <w:rPr>
          <w:rFonts w:ascii="Calibri" w:hAnsi="Calibri"/>
          <w:b/>
          <w:color w:val="4A6B25"/>
          <w:sz w:val="15"/>
        </w:rPr>
        <w:t xml:space="preserve">2. </w:t>
      </w:r>
      <w:r>
        <w:rPr>
          <w:rFonts w:ascii="Calibri" w:hAnsi="Calibri"/>
          <w:b w:val="0"/>
          <w:color w:val="3A4A28"/>
          <w:sz w:val="17"/>
        </w:rPr>
        <w:t>Ares Management CEO Arougheti — BofA Conference, AI strategy commentary, Bloomberg interview on private credit fears, February 2026</w:t>
      </w:r>
    </w:p>
    <w:p>
      <w:pPr>
        <w:spacing w:before="20" w:after="20"/>
        <w:ind w:left="170"/>
      </w:pPr>
      <w:r>
        <w:rPr>
          <w:rFonts w:ascii="Calibri" w:hAnsi="Calibri"/>
          <w:b/>
          <w:color w:val="4A6B25"/>
          <w:sz w:val="15"/>
        </w:rPr>
        <w:t xml:space="preserve">3. </w:t>
      </w:r>
      <w:r>
        <w:rPr>
          <w:rFonts w:ascii="Calibri" w:hAnsi="Calibri"/>
          <w:b w:val="0"/>
          <w:color w:val="3A4A28"/>
          <w:sz w:val="17"/>
        </w:rPr>
        <w:t>Ares Capital ESG and Controversy Research — Seeking Alpha analysis, Institutional Investor coverage,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ARCC (Ares Capital),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