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ARE</w:t>
      </w:r>
      <w:r>
        <w:rPr>
          <w:rFonts w:ascii="Calibri" w:hAnsi="Calibri"/>
          <w:b/>
          <w:color w:val="1A2010"/>
          <w:sz w:val="40"/>
        </w:rPr>
        <w:t xml:space="preserve">  Alexandria Real Estate Equities, Inc.</w:t>
      </w:r>
    </w:p>
    <w:p>
      <w:pPr>
        <w:spacing w:after="120"/>
      </w:pPr>
      <w:r>
        <w:rPr>
          <w:rFonts w:ascii="Calibri" w:hAnsi="Calibri"/>
          <w:b/>
          <w:color w:val="6E8450"/>
          <w:sz w:val="18"/>
        </w:rPr>
        <w:t>DIVIDEND SLEEVE · 2026-04-13 · Inspire: 80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Life Science · NYSE · United States</w:t>
      </w:r>
    </w:p>
    <w:p>
      <w:pPr>
        <w:spacing w:after="80"/>
      </w:pPr>
      <w:r>
        <w:rPr>
          <w:rFonts w:ascii="Calibri" w:hAnsi="Calibri"/>
          <w:b w:val="0"/>
          <w:color w:val="3A4A28"/>
          <w:sz w:val="20"/>
        </w:rPr>
        <w:t>Alexandria Real Estate Equities is the leading REIT focused on life-science real estate, with a 35.9 million RSF North American operating asset base and a S&amp;P 500 listing. Founder Joel Marcus pioneered life-science clusters in Boston, San Francisco, San Diego, NYC, RTP, and Maryland. The company also operates Alexandria Venture Investments, deploying capital into life-science, agrifoodtech, climate, and tech startups [3].</w:t>
      </w:r>
    </w:p>
    <w:p>
      <w:r>
        <w:rPr>
          <w:rFonts w:ascii="Calibri" w:hAnsi="Calibri"/>
          <w:b/>
          <w:color w:val="6E8450"/>
          <w:sz w:val="18"/>
        </w:rPr>
        <w:t>580 Employees · https://www.are.com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Q4 2025 net loss of $(6.35)/share and full-year net loss of $(8.44)/share reflect significant impairments on legacy assets [1]. FFO/share-as-adjusted of $9.01 for 2025 missed historical norms, and 2026 FFO guide of $6.25-$6.55 implies a ~30% decline year over year [1][4]. AI Deployment (2/2): Alexandria Venture Investments is actively backing AI-enabled life science platforms and life-sciences tooling startups, and the company is positioning lab space for AI-driven drug discovery customers [3]. Market Share (2/2): ARE remains the leading life science REIT with unmatched cluster positioning in Cambridge, SSF, San Diego, and NYC [3]. Pipeline (0/2): $2.9B of dispositions planned in 2026 (65-75% non-core/land), occupancy dropping to high-80s, and a 45% dividend cut signal a defensive shrinking phase rather than growth pipeline [4][5]. R&amp;D Intensity (0/1): REITs do not run R&amp;D; venture investments arm is a partial offset but small-scale.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ARE's mission to 'create and grow life-science ecosystems and clusters to advance human health' is one of the most differentiated and durable just causes in the REIT space, articulated by Founder Joel Marcus across three decades [3]. Community Impact (2/2): Alexandria has catalyzed entire life-science clusters that anchor biotech innovation in U.S. metros; the four-vertical model (real estate, venture, thought leadership, corporate responsibility) generates measurable health-economy impact [3]. Employee Retention (1/2): Marcus's 'taking the ego out of leading' philosophy has been profiled by NYT, and the company invests in leadership development workshops [3]. Insider Buying (0/2): Founder Marcus and management have not been highlighted for notable insider buying during the 2025-2026 share price collapse; the dividend cut signals defensive posture rather than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ARE is in a serious financial reset. 2025 net loss of $(8.44)/share reflects major impairments; FFO-as-adjusted of $9.01 fell sharply, and 2026 guide of $6.25-$6.55 implies a further ~30% decline [1]. Stock has crashed to $42.61 (down materially from prior $100+ levels), with P/E of ~10.7 reflecting depressed near-term earnings [5]. The 45% dividend cut to $0.72 quarterly ($2.88 annual) snapped a long growth streak and now yields ~6.8% on the new payout [6]. Occupancy dipped to 90.9% in Q4 2025 with management guiding into the high-80s, and net debt + preferred to adjusted EBITDA at 5.7x is elevated [4]. Liquidity of $5.30B and $2.9B of planned 2026 dispositions provide flexibility but reflect forced asset sales. Liquidity floor cleared given ~$7B+ market cap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ARE plays a multi-decade infinite game in life-science cluster building and human-health innovation, with Marcus's 30+ years of mission-driven stewardship and the four-vertical model. However, the 45% dividend cut, $2.9B of forced dispositions, and FFO decline signal that the company is currently in defensive survival mode, sacrificing long-term momentum to stabilize the balance sheet.</w:t>
      </w:r>
    </w:p>
    <w:p>
      <w:pPr>
        <w:spacing w:before="200" w:after="40"/>
      </w:pPr>
      <w:r>
        <w:rPr>
          <w:rFonts w:ascii="Calibri" w:hAnsi="Calibri"/>
          <w:b/>
          <w:color w:val="1A2010"/>
          <w:sz w:val="22"/>
        </w:rPr>
        <w:t>Just Cause</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Marcus's mission to 'advance human health' through life-science cluster real estate is one of the clearest just causes in commercial real estate — articulated, lived, and measurable through tenant breakthroughs in oncology, gene therapy, and vaccines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NYT Corner Office profile of Marcus's 'taking the ego out of leading' and the leadership development program signal trust-building investment, but the stock collapse and dividend cut may stress retention of key talent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ARE competes with Healthpeak (DOC, formerly Healthpeak Properties) and BioMed Realty (now private under Blackstone) for life-science tenants; the rivalry has driven cluster specialization and amenity sophistication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four-vertical strategy (real estate, venture, thought leadership, corporate responsibility) shows flexibility, but the response to current downturn has been classic REIT defensive playbook (asset sales, dividend cut) rather than transformative reinvention [4][5].</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Cutting the dividend 45% and committing to $2.9B in 2026 dispositions is hard-earned discipline, but it is also a forced response to overleverage — reactive courage rather than proactive conviction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Alexandria Real Estate Equities is the leading life-science REIT and one of the highest faith-aligned holdings in the IOWN universe (Inspire score +80, ALIGNED, with positive attributions across 16 ESG dimensions) [3]. Founder Joel Marcus's three-decade mission to 'advance human health' through clustered life-science real estate is a genuinely durable just cause, and the 35.9 million RSF portfolio in Cambridge, SSF, San Diego, NYC, and RTP cannot be easily replicated [3]. After a brutal 2025 — $(8.44) net loss, 45% dividend cut to $2.88 annual, and stock crash to $42.61 — ARE now trades at 6.8x forward P/E with a 6.76% yield on the reset dividend, $5.30B of liquidity, and $2.9B of planned 2026 dispositions to delever [1][4][5]. Recommendation is WATCH given execution risk, with potential upgrade to HOLD/BUY if 2026 dispositions execute and life-science demand stabilizes.</w:t>
      </w:r>
    </w:p>
    <w:p>
      <w:pPr>
        <w:spacing w:after="120"/>
      </w:pPr>
      <w:r>
        <w:rPr>
          <w:rFonts w:ascii="Calibri" w:hAnsi="Calibri"/>
          <w:b w:val="0"/>
          <w:color w:val="3A4A28"/>
          <w:sz w:val="20"/>
        </w:rPr>
        <w:t>The bear case is that ARE is a value trap. 2026 FFO guide of $6.25-$6.55 represents a ~30% YoY decline, occupancy is heading into the high-80s, and the 45% dividend cut suggests management has limited visibility into 2027 cash flows [1][4]. Net debt plus preferred to adjusted EBITDA of 5.7x is elevated for a REIT in a declining-FFO environment, and rising interest rates plus weakening lease spreads compress refinancing economics. Life-science tenant demand has softened with biotech funding pullback and U.S. administration policy uncertainty around NIH funding and drug pricing [1][4]. The disposition plan ($2.9B at 2026 midpoint) requires successful execution in a weak commercial real estate market — fire-sale pricing risk is real. Founder Marcus's transition to Executive Chairman (since 2018) has not produced a clear succession answer for operating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$2.9B of 2026 dispositions executing at reasonable prices, demonstrating delevering capability and capital recycling [4]</w:t>
      </w:r>
    </w:p>
    <w:p>
      <w:pPr>
        <w:spacing w:before="40" w:after="40"/>
        <w:ind w:left="283"/>
      </w:pPr>
      <w:r>
        <w:rPr>
          <w:rFonts w:ascii="Calibri" w:hAnsi="Calibri"/>
          <w:b/>
          <w:color w:val="4A6B25"/>
          <w:sz w:val="20"/>
        </w:rPr>
        <w:t xml:space="preserve">2. </w:t>
      </w:r>
      <w:r>
        <w:rPr>
          <w:rFonts w:ascii="Calibri" w:hAnsi="Calibri"/>
          <w:b w:val="0"/>
          <w:color w:val="3A4A28"/>
          <w:sz w:val="20"/>
        </w:rPr>
        <w:t>Life-science funding stabilization — if biotech IPO market and NIH funding clarify in H2 2026, tenant demand could rebound supporting H2 occupancy growth [4]</w:t>
      </w:r>
    </w:p>
    <w:p>
      <w:pPr>
        <w:spacing w:before="40" w:after="40"/>
        <w:ind w:left="283"/>
      </w:pPr>
      <w:r>
        <w:rPr>
          <w:rFonts w:ascii="Calibri" w:hAnsi="Calibri"/>
          <w:b/>
          <w:color w:val="4A6B25"/>
          <w:sz w:val="20"/>
        </w:rPr>
        <w:t xml:space="preserve">3. </w:t>
      </w:r>
      <w:r>
        <w:rPr>
          <w:rFonts w:ascii="Calibri" w:hAnsi="Calibri"/>
          <w:b w:val="0"/>
          <w:color w:val="3A4A28"/>
          <w:sz w:val="20"/>
        </w:rPr>
        <w:t>Reset dividend of $2.88 annual at 6.76% yield is now well-covered (46% payout ratio on 2026 FFO guide), creating a more sustainable income profile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Further FFO declines in 2027 if life-science tenant demand and lease spreads continue weakening, potentially triggering additional dividend cuts [1][4]</w:t>
      </w:r>
    </w:p>
    <w:p>
      <w:pPr>
        <w:spacing w:before="40" w:after="40"/>
        <w:ind w:left="283"/>
      </w:pPr>
      <w:r>
        <w:rPr>
          <w:rFonts w:ascii="Calibri" w:hAnsi="Calibri"/>
          <w:b/>
          <w:color w:val="4A6B25"/>
          <w:sz w:val="20"/>
        </w:rPr>
        <w:t xml:space="preserve">2. </w:t>
      </w:r>
      <w:r>
        <w:rPr>
          <w:rFonts w:ascii="Calibri" w:hAnsi="Calibri"/>
          <w:b w:val="0"/>
          <w:color w:val="3A4A28"/>
          <w:sz w:val="20"/>
        </w:rPr>
        <w:t>Forced disposition pricing risk — $2.9B of asset sales in a weak commercial real estate market could realize materially below book values [4]</w:t>
      </w:r>
    </w:p>
    <w:p>
      <w:pPr>
        <w:spacing w:before="40" w:after="40"/>
        <w:ind w:left="283"/>
      </w:pPr>
      <w:r>
        <w:rPr>
          <w:rFonts w:ascii="Calibri" w:hAnsi="Calibri"/>
          <w:b/>
          <w:color w:val="4A6B25"/>
          <w:sz w:val="20"/>
        </w:rPr>
        <w:t xml:space="preserve">3. </w:t>
      </w:r>
      <w:r>
        <w:rPr>
          <w:rFonts w:ascii="Calibri" w:hAnsi="Calibri"/>
          <w:b w:val="0"/>
          <w:color w:val="3A4A28"/>
          <w:sz w:val="20"/>
        </w:rPr>
        <w:t>Net debt + preferred / adj EBITDA at 5.7x is elevated; rising rates plus declining FFO could create refinancing stress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Life-science lab space is fundamentally physical and AI-immune — wet labs, GMP suites, and biomanufacturing facilities cannot be virtualized [3]. AI is actually accelerating drug discovery and creating new tenant demand profiles (computational biology, AI-bio platforms) that ARE is positioned to serve. The risk is that biotech funding cycles compress — not that AI replaces lab space. AI Opportunity (1/1): Alexandria Venture Investments funds AI-enabled biotech and agrifoodtech platforms, generating both financial returns and pipeline tenant demand for the lab portfolio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80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ARE Q4 2025 / FY2025 results press release — net loss $(6.35) Q4 / $(8.44) FY, FFO/share-as-adjusted $2.16 Q4 / $9.01 FY, 2026 FFO guide $6.25-$6.55, occupancy 90.9% trending high-80s, $5.30B liquidity, 5.7x net debt+pref/adj EBITDA</w:t>
      </w:r>
    </w:p>
    <w:p>
      <w:pPr>
        <w:spacing w:before="20" w:after="20"/>
        <w:ind w:left="170"/>
      </w:pPr>
      <w:r>
        <w:rPr>
          <w:rFonts w:ascii="Calibri" w:hAnsi="Calibri"/>
          <w:b/>
          <w:color w:val="4A6B25"/>
          <w:sz w:val="15"/>
        </w:rPr>
        <w:t xml:space="preserve">2. </w:t>
      </w:r>
      <w:r>
        <w:rPr>
          <w:rFonts w:ascii="Calibri" w:hAnsi="Calibri"/>
          <w:b w:val="0"/>
          <w:color w:val="3A4A28"/>
          <w:sz w:val="17"/>
        </w:rPr>
        <w:t>ARE Q4 2025 earnings call transcript, Investing.com</w:t>
      </w:r>
    </w:p>
    <w:p>
      <w:pPr>
        <w:spacing w:before="20" w:after="20"/>
        <w:ind w:left="170"/>
      </w:pPr>
      <w:r>
        <w:rPr>
          <w:rFonts w:ascii="Calibri" w:hAnsi="Calibri"/>
          <w:b/>
          <w:color w:val="4A6B25"/>
          <w:sz w:val="15"/>
        </w:rPr>
        <w:t xml:space="preserve">3. </w:t>
      </w:r>
      <w:r>
        <w:rPr>
          <w:rFonts w:ascii="Calibri" w:hAnsi="Calibri"/>
          <w:b w:val="0"/>
          <w:color w:val="3A4A28"/>
          <w:sz w:val="17"/>
        </w:rPr>
        <w:t>Alexandria Real Estate executive bios and corporate responsibility — Founder Joel Marcus, four-vertical model, mission to advance human health</w:t>
      </w:r>
    </w:p>
    <w:p>
      <w:pPr>
        <w:spacing w:before="20" w:after="20"/>
        <w:ind w:left="170"/>
      </w:pPr>
      <w:r>
        <w:rPr>
          <w:rFonts w:ascii="Calibri" w:hAnsi="Calibri"/>
          <w:b/>
          <w:color w:val="4A6B25"/>
          <w:sz w:val="15"/>
        </w:rPr>
        <w:t xml:space="preserve">4. </w:t>
      </w:r>
      <w:r>
        <w:rPr>
          <w:rFonts w:ascii="Calibri" w:hAnsi="Calibri"/>
          <w:b w:val="0"/>
          <w:color w:val="3A4A28"/>
          <w:sz w:val="17"/>
        </w:rPr>
        <w:t>Seeking Alpha and Investing.com analyses of ARE 2026 outlook and dividend cut implications</w:t>
      </w:r>
    </w:p>
    <w:p>
      <w:pPr>
        <w:spacing w:before="20" w:after="20"/>
        <w:ind w:left="170"/>
      </w:pPr>
      <w:r>
        <w:rPr>
          <w:rFonts w:ascii="Calibri" w:hAnsi="Calibri"/>
          <w:b/>
          <w:color w:val="4A6B25"/>
          <w:sz w:val="15"/>
        </w:rPr>
        <w:t xml:space="preserve">5. </w:t>
      </w:r>
      <w:r>
        <w:rPr>
          <w:rFonts w:ascii="Calibri" w:hAnsi="Calibri"/>
          <w:b w:val="0"/>
          <w:color w:val="3A4A28"/>
          <w:sz w:val="17"/>
        </w:rPr>
        <w:t>Yahoo Finance / Macrotrends / TradingEconomics — ARE stock $42.61, P/E ~10.7, forward P/E ~6.8, April 2026</w:t>
      </w:r>
    </w:p>
    <w:p>
      <w:pPr>
        <w:spacing w:before="20" w:after="20"/>
        <w:ind w:left="170"/>
      </w:pPr>
      <w:r>
        <w:rPr>
          <w:rFonts w:ascii="Calibri" w:hAnsi="Calibri"/>
          <w:b/>
          <w:color w:val="4A6B25"/>
          <w:sz w:val="15"/>
        </w:rPr>
        <w:t xml:space="preserve">6. </w:t>
      </w:r>
      <w:r>
        <w:rPr>
          <w:rFonts w:ascii="Calibri" w:hAnsi="Calibri"/>
          <w:b w:val="0"/>
          <w:color w:val="3A4A28"/>
          <w:sz w:val="17"/>
        </w:rPr>
        <w:t>ARE press release — Declares cash dividend of $0.72 per share for 4Q25, a decrease of $0.60 (45%) compared to 3Q25; annualized $2.88, ~6.76% yield</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