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ARHS</w:t>
      </w:r>
      <w:r>
        <w:rPr>
          <w:rFonts w:ascii="Calibri" w:hAnsi="Calibri"/>
          <w:b/>
          <w:color w:val="1A2010"/>
          <w:sz w:val="40"/>
        </w:rPr>
        <w:t xml:space="preserve">  Arhaus, Inc.</w:t>
      </w:r>
    </w:p>
    <w:p>
      <w:pPr>
        <w:spacing w:after="120"/>
      </w:pPr>
      <w:r>
        <w:rPr>
          <w:rFonts w:ascii="Calibri" w:hAnsi="Calibri"/>
          <w:b/>
          <w:color w:val="6E8450"/>
          <w:sz w:val="18"/>
        </w:rPr>
        <w:t>GROWTH SLEEVE · 2026-04-30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Arhaus, Inc. is a premium home furnishings retailer founded in 1986, offering artisan-crafted furniture, lighting, textiles, and decor through 107+ showrooms across the United States, ecommerce, and an interior designer trade channel. The company emphasizes sustainable sourcing, handcrafted quality, and curated design across living room, dining, bedroom, outdoor, and bath categories.</w:t>
      </w:r>
    </w:p>
    <w:p>
      <w:r>
        <w:rPr>
          <w:rFonts w:ascii="Calibri" w:hAnsi="Calibri"/>
          <w:b/>
          <w:color w:val="6E8450"/>
          <w:sz w:val="18"/>
        </w:rPr>
        <w:t>2,700 Employees · https://www.arhaus.com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Arhaus has expanded from 81 showrooms in 2021 to 107 in 2025, delivering consistent revenue growth from ~$750M to $1.38B, but this represents geographic expansion of an existing concept rather than product innovation or business model transformation [1]. The trade/interior designer channel initiative (4x AOV vs. retail) is a meaningful incremental revenue stream but not category-defining. AI Deployment (0/2): No evidence of AI-powered products or quantified AI-driven operational savings. Arhaus is a physical furniture retailer with no disclosed AI strategy or deployment [2]. Market Share (1/2): Arhaus occupies a growing niche in the premium home furnishings market between mass-market retailers (Pottery Barn, Restoration Hardware) and luxury custom furniture. The company is gaining share through showroom expansion and designer partnerships, though it remains a small player in the $200B+ home furnishings market [1]. Product Pipeline (0/2): No next-generation products with specific launch dates announced. Product evolution is incremental — seasonal collections and category extensions rather than platform innovation. R&amp;D Intensity (1/1): Arhaus invests meaningfully in product design and sourcing relationships with artisans globally, maintaining a curated assortment that differentiates from mass-market competitors, though formal R&amp;D spending metrics are not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Arhaus's purpose centers on creating beautiful, high-quality furniture through sustainable sourcing and artisan craftsmanship — 'furniture that looks and lives beautifully for generations.' This is specific and thoughtful, clearly reflecting intentionality in connecting commerce to craftsmanship, sustainability, and lasting quality. Founder John Reed's 40-year leadership tenure validates the authenticity of this vision. Community Impact (1/2): Arhaus has donated to protect 54,000 acres of virgin rainforest in Borneo plus an additional 54,000 acres dedicated to sustainable forestry [3]. Annual employee volunteering at food banks, Habitat for Humanity, and children's educational programs demonstrates genuine community investment, though total dollar commitments are not disclosed. Employee Retention (0/2): Glassdoor rating of 2.5/5.0 across 683 reviews is concerning, with employees citing a 'termination on the spot' culture, leadership favoritism, and poor communication [2]. This suggests high turnover and a fear-based environment, inconsistent with the artisan-focused brand identity. Insider Buying (1/2): Founder/CEO John Reed directly owns 31.99% of shares worth $406M, representing extraordinary insider alignment [2]. However, recent net insider transaction data beyond founder holdings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Arhaus scores strongly on the mechanical Infrastructure calculation despite moderate leverage. D/E of 138.8% is between target (70%) and floor (300%), scoring 0.70 [4]. ROE of 17.7% exceeds the 15% target, scoring 1.0 [4]. Revenue growth of 8.5% YoY ($1.38B record in FY2025) scores 0.95, and estimated 5-year CAGR of ~13% exceeds the 10% target, scoring 1.0 [1]. Forward P/E of 12.6x is well below the 20x target, scoring 1.0 [4]. The weak spot is profit margin at 4.9% (target 20%), reflecting the capital-intensive showroom model and scoring 0.24 [4]. Growth stock metrics used (PEG unavailable, excluded). Liquidity floor cleared: 1.33M avg volume × $7.34 = $9.7M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Arhaus benefits from a founder-CEO with a 40-year tenure who has built the company around a genuine vision of sustainable, artisan-crafted furniture. However, the significant gap between the artisan brand identity and the employee experience (2.5/5 Glassdoor) reveals tension between aspiration and execution. The company plays to endure through its craftsmanship positioning but has not faced or navigated a true existential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Arhaus's cause — creating beautiful, lasting furniture through sustainable sourcing and artisan craftsmanship — is genuine and distinctive. Founder John Reed's 40-year commitment to this vision, the rainforest conservation donations, and the emphasis on pieces that 'live beautifully for generations' connect commerce to sustainability and craftsmanship in a specific way [3]. However, the cause has not been validated through a transformative crisis or multi-decade pivot — Arhaus has essentially pursued the same mission since 1986, which is admirable consistency but hasn't been severely tested.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2.5/5.0 across 683 reviews paints a troubling picture. Employees report a 'termination on the spot' culture creating fear, leadership favoritism, poor communication, and lack of development opportunities [2]. While some employees appreciate the founder's personal engagement ('you're not just a number'), the overall sentiment indicates a low-trust environment with significant organizational instability. By Sinek's standards, this is a Circle of Safety breakdown.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Arhaus positions itself as distinct from both mass-market retailers (Pottery Barn, West Elm) and ultra-premium competitors (Restoration Hardware) through artisan craftsmanship and sustainable sourcing rather than competing on price or scale [1]. The competitive language focuses on differentiation and quality rather than defeating rivals. The trade channel initiative acknowledges that designer-led sales represent a strength competitors have leveraged that Arhaus is learning to embrace.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Arhaus has evolved from a single-store Ohio furniture shop in 1986 to a 107-showroom national retailer with ecommerce and trade channels [1]. The expansion into the interior designer trade channel (4x AOV) represents a meaningful strategic evolution. The shift to omni-channel distribution during and after COVID was a necessary adaptation. These are incremental evolutions rather than transformative pivots — the company has not abandoned a core business line in service of its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leadership decisions. Arhaus has pursued steady showroom expansion and the 2021 IPO, but no examples of leadership sacrificing near-term results for long-term capability or walking away from profitable but misaligned opportunities. The 2025 special dividend suggests prioritizing shareholder returns over reinvestment. Cost management and margin optimization appear to be primary leadership focuses rather than bold long-term bets [1].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Arhaus is a differentiated premium home furnishings retailer with record FY2025 revenue of $1.38B (+8.5% YoY), a founder-CEO with 40 years of tenure and 32% ownership alignment, and a compelling growth runway through showroom expansion (10-14 projects planned in 2026) and the high-AOV interior designer trade channel [1]. At 12.6x forward P/E and $1.04B market cap, the stock is attractively valued for a specialty retailer generating 17.7% ROE with double-digit 5-year revenue CAGR [4]. 2026 guidance of $1.43-$1.47B revenue with improving EBITDA margins provides visibility into continued growth, while the sustainable sourcing and artisan positioning creates brand differentiation against mass-market competitors [1].</w:t>
      </w:r>
    </w:p>
    <w:p>
      <w:pPr>
        <w:spacing w:after="120"/>
      </w:pPr>
      <w:r>
        <w:rPr>
          <w:rFonts w:ascii="Calibri" w:hAnsi="Calibri"/>
          <w:b w:val="0"/>
          <w:color w:val="3A4A28"/>
          <w:sz w:val="20"/>
        </w:rPr>
        <w:t>The bear case centers on thin profit margins and cyclical exposure. Net income margin of 4.9% leaves minimal buffer against cost headwinds — tariff impacts of $30-40M in 2026 could compress margins further despite mitigation efforts through sourcing shifts and selective pricing [1]. Q1 2026 revenue guidance of $300-320M fell below consensus (~$327M), signaling near-term demand softness in the premium furniture category [1]. D/E of 138.8% reflects significant lease obligations and working capital needs for showroom expansion. The severe disconnect between the artisan brand identity and employee experience (Glassdoor 2.5/5.0, 'termination on the spot' culture) creates reputational and operational risk [2]. Premium furniture is inherently cyclical — housing market weakness, consumer confidence declines, or recession would disproportionately impact discretionary high-ticket purchases. EPS declined 28.6% YoY in the most recent period despite revenue growth, suggesting operating deleverage and rising costs are pressuring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Showroom expansion of 10-14 projects in 2026 extending national footprint beyond 107 locations, with each new showroom adding incremental revenue at improving unit economics [1]</w:t>
      </w:r>
    </w:p>
    <w:p>
      <w:pPr>
        <w:spacing w:before="40" w:after="40"/>
        <w:ind w:left="283"/>
      </w:pPr>
      <w:r>
        <w:rPr>
          <w:rFonts w:ascii="Calibri" w:hAnsi="Calibri"/>
          <w:b/>
          <w:color w:val="4A6B25"/>
          <w:sz w:val="20"/>
        </w:rPr>
        <w:t xml:space="preserve">2. </w:t>
      </w:r>
      <w:r>
        <w:rPr>
          <w:rFonts w:ascii="Calibri" w:hAnsi="Calibri"/>
          <w:b w:val="0"/>
          <w:color w:val="3A4A28"/>
          <w:sz w:val="20"/>
        </w:rPr>
        <w:t>Interior designer trade channel growth generating 4x higher average order values versus retail customers, with designer-led relationships driving repeat business and brand elevation [1]</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12.6x forward P/E for a specialty retailer with 17.7% ROE and 13% 5-year revenue CAGR positions the stock for re-rating if margin expansion materializes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headwinds of $30-40M in 2026 threatening already-thin 4.9% net margins, with limited pricing power if consumer demand softens in the premium furniture segment [1]</w:t>
      </w:r>
    </w:p>
    <w:p>
      <w:pPr>
        <w:spacing w:before="40" w:after="40"/>
        <w:ind w:left="283"/>
      </w:pPr>
      <w:r>
        <w:rPr>
          <w:rFonts w:ascii="Calibri" w:hAnsi="Calibri"/>
          <w:b/>
          <w:color w:val="4A6B25"/>
          <w:sz w:val="20"/>
        </w:rPr>
        <w:t xml:space="preserve">2. </w:t>
      </w:r>
      <w:r>
        <w:rPr>
          <w:rFonts w:ascii="Calibri" w:hAnsi="Calibri"/>
          <w:b w:val="0"/>
          <w:color w:val="3A4A28"/>
          <w:sz w:val="20"/>
        </w:rPr>
        <w:t>Severe employee culture issues (Glassdoor 2.5/5.0) with reports of fear-based management and high turnover undermining operational execution during a critical growth phase [2]</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housing market and consumer confidence — premium furniture purchases are highly discretionary and among the first budget items cut in economic downturns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Arhaus's core business is fundamentally physical — designing, sourcing, manufacturing, and retailing tangible furniture through showroom experiences where customers touch fabrics, test comfort, and visualize pieces in-room [1]. The artisan-crafted, premium positioning requires physical production capabilities, global sourcing relationships, and in-person retail experiences that AI cannot replicate. Interior designer relationships and trade channel sales (4x AOV) depend on human judgment, taste, and personal service. AI may modestly impact back-office operations and marketing personalization, but the core value chain — physical product design, manufacturing, logistics, and showroom experience — is structurally immune to AI displacement. No analyst has flagged AI as a meaningful risk to premium furniture retail. AI Opportunity (0/1): No evidence of AI-generated revenue. Arhaus does not sell AI products or services, and has not disclosed quantifiable AI-driven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Arhaus Q4 and Full Year 2025 Earnings Release — $1.38B record revenue, 8.5% YoY growth, 2026 guidance $1.43-$1.47B, 10-14 showroom projects, tariff impact $30-40M, February 2026</w:t>
      </w:r>
    </w:p>
    <w:p>
      <w:pPr>
        <w:spacing w:before="20" w:after="20"/>
        <w:ind w:left="170"/>
      </w:pPr>
      <w:r>
        <w:rPr>
          <w:rFonts w:ascii="Calibri" w:hAnsi="Calibri"/>
          <w:b/>
          <w:color w:val="4A6B25"/>
          <w:sz w:val="15"/>
        </w:rPr>
        <w:t xml:space="preserve">2. </w:t>
      </w:r>
      <w:r>
        <w:rPr>
          <w:rFonts w:ascii="Calibri" w:hAnsi="Calibri"/>
          <w:b w:val="0"/>
          <w:color w:val="3A4A28"/>
          <w:sz w:val="17"/>
        </w:rPr>
        <w:t>Arhaus Leadership and Culture — Founder/CEO John Reed 40-year tenure, 31.99% ownership; Glassdoor 2.5/5.0 across 683 reviews, CTO Mohit Kapoor AI strategy; Glassdoor,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Arhaus Sustainability — 54,000 acres rainforest protection in Borneo, employee volunteering programs, artisan craftsmanship sourcing; Arhaus Impact page,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ARHS (Arhaus,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