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ARI</w:t>
      </w:r>
      <w:r>
        <w:rPr>
          <w:rFonts w:ascii="Calibri" w:hAnsi="Calibri"/>
          <w:b/>
          <w:color w:val="1A2010"/>
          <w:sz w:val="40"/>
        </w:rPr>
        <w:t xml:space="preserve">  Apollo Commercial Real Estate Finance, Inc.</w:t>
      </w:r>
    </w:p>
    <w:p>
      <w:pPr>
        <w:spacing w:after="120"/>
      </w:pPr>
      <w:r>
        <w:rPr>
          <w:rFonts w:ascii="Calibri" w:hAnsi="Calibri"/>
          <w:b/>
          <w:color w:val="6E8450"/>
          <w:sz w:val="18"/>
        </w:rPr>
        <w:t>DIVIDEND SLEEVE · 2026-04-29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Apollo Commercial Real Estate Finance, Inc. is an externally managed commercial mortgage REIT that originates, acquires, invests in, and manages commercial first mortgage loans, subordinate financings, and other commercial real estate-related debt investments. The company is managed by an affiliate of Apollo Global Management.</w:t>
      </w:r>
    </w:p>
    <w:p>
      <w:r>
        <w:rPr>
          <w:rFonts w:ascii="Calibri" w:hAnsi="Calibri"/>
          <w:b/>
          <w:color w:val="6E8450"/>
          <w:sz w:val="18"/>
        </w:rPr>
        <w:t>https://www.apollocref.com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ARI has modestly expanded its loan origination platform under Apollo's management, but the commercial mortgage REIT model has remained fundamentally unchanged since the company's 2009 IPO — there have been no transformative product launches or business model pivots [1]. AI Deployment (0/2): No evidence of AI-powered products or measurable AI-driven operational efficiencies. The company relies on Apollo Global Management's broader investment platform for underwriting capabilities. Market Share (1/2): ARI benefits from Apollo Global Management's $700B+ asset management platform, providing access to deal flow and credit expertise that smaller mortgage REITs cannot match, though ARI itself is a mid-sized player in the commercial mortgage REIT space with a $1.5B market cap [2]. Product Pipeline (0/2): No next-generation products or strategic initiatives announced beyond ongoing loan origination. The $150M stock repurchase authorization is a capital return program, not a growth initiative [1]. R&amp;D Intensity (1/1): As an externally managed REIT, ARI benefits from Apollo's institutional investment research and credit analytics capabilities, which exceed typical mortgage REIT resources.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ARI's purpose is functional — originating and managing commercial real estate debt investments to generate distributable income for shareholders. There is no articulated mission, vision, or purpose statement beyond the financial mandate common to all externally managed REITs [3]. Community Impact (0/2): No evidence of charitable programs, community investment, or social impact initiatives specific to ARI. The company is externally managed with no employees of its own, limiting community engagement. Employee Retention (1/2): As an externally managed REIT, ARI's operations are conducted by Apollo Global Management employees. Apollo's 'One Apollo' culture initiative and institutional management approach under CEO Marc Rowan provide adequate organizational stability, though this is the parent company's culture, not ARI's [2]. Insider Buying (1/2): The board authorized a $150M stock repurchase program, signaling management's belief the stock is undervalued, though this is corporate buyback rather than personal insider purchasing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ARI's financial profile reflects the leveraged nature of mortgage REITs — D/E of 428% significantly exceeds the 70% target, though this is structural for the REIT model where leverage is the business [6]. The forward P/E of 12.7x is attractive, and profit margin of 47.2% is strong, reflecting the spread-based lending business [1]. However, revenue declined 9.6% on a 3-year CAGR basis as the commercial real estate market faced higher interest rates and transaction volume compression. The payout ratio of 123% exceeds distributable earnings, and the 5-year dividend CAGR of -7.2% shows consistent distribution cuts from $1.84/share in 2018 to $1.00/share in 2025 [6]. The 16-year dividend payment history is the primary infrastructure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ARI operates as a finite game player by design. As an externally managed REIT, the company exists to generate distributable income for shareholders through leveraged commercial real estate lending — a pure financial engineering model with no broader cause or enduring purpose beyond capital allocation [3]. The relationship with Apollo Global Management provides institutional backing but also creates inherent conflicts of interest between the external manager's fee income and shareholder returns.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ARI has no Just Cause. The company exists to originate commercial real estate loans and distribute income to shareholders — a purely financial purpose with no vision of a future state that inspires sacrifice or commitment [3]. There is no mission statement, no articulated purpose beyond capital deployment, and no evidence that leadership references a higher cause in strategic decisions. This is a financial vehicle, not a purpose-driven organization.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 an externally managed REIT, ARI's organizational trust is really Apollo Global Management's organizational trust. CEO Marc Rowan's transition of Apollo to a more institutionalized 'One Apollo' culture represents adequate trust-building, and CEO Jarrod Rothstein brings extensive managerial experience to ARI's operations [2]. However, the external management structure inherently creates principal-agent tensions between the manager's fee income and shareholder interests, limiting true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ARI's investor presentations and earnings calls frame competition in market share terms — competing for loan origination volume against other commercial mortgage REITs (Blackstone Mortgage Trust, Starwood Property Trust). The competitive language is about 'winning' deals rather than learning from rivals' strengths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ARI has shown some strategic evolution, shifting its loan portfolio composition in response to market conditions — moving from subordinated debt toward first mortgage loans, adjusting geographic exposure, and adapting to the post-pandemic commercial real estate environment [1]. However, the fundamental business model of leveraged commercial real estate lending has remained unchanged since the 2009 IPO, and the externally managed structure limits the company's ability to make transformative strategic pivots.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ARI's leadership has consistently prioritized short-term distributable earnings over long-term value creation. The company has cut its dividend five times since 2019 (from $1.84/share to $1.00/share), each time reactively in response to portfolio losses rather than proactively repositioning capital [6]. The $150M buyback authorization signals some confidence, but the overall pattern is one of managing decline rather than making courageous long-term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ARI offers a 9.0% dividend yield at a 12.7x forward P/E, supported by Apollo Global Management's $700B+ asset management platform providing superior deal flow and credit analytics for commercial real estate lending [1]. Q1 2026 results showed stabilization with $0.22 distributable EPS covering the $0.25 quarterly dividend, no realized losses, and net income of $26.2M essentially flat year-over-year [1]. The $150M stock repurchase authorization at a significant discount to book value signals management confidence, and the 47% profit margin reflects the attractive spread-based economics of the lending model.</w:t>
      </w:r>
    </w:p>
    <w:p>
      <w:pPr>
        <w:spacing w:after="120"/>
      </w:pPr>
      <w:r>
        <w:rPr>
          <w:rFonts w:ascii="Calibri" w:hAnsi="Calibri"/>
          <w:b w:val="0"/>
          <w:color w:val="3A4A28"/>
          <w:sz w:val="20"/>
        </w:rPr>
        <w:t>The bear case is significant: D/E of 428% exposes ARI to interest rate and credit risk in a commercial real estate market still adjusting to higher rates, with FY2024 net income of negative $119.6M demonstrating the portfolio's vulnerability to credit losses [6]. The dividend has been cut five times since 2019, falling from $1.84 to $1.00/share annually — a 46% reduction that erodes investor confidence in the income thesis. Revenue declined 9.6% on a 3-year CAGR basis as commercial real estate transaction volumes contracted, and the 123% payout ratio suggests the current dividend may still exceed sustainable distributable earnings. The externally managed structure creates inherent fee conflicts with Apollo Global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market stabilization and potential Fed rate cuts improving loan origination volume and reducing credit stress on the existing portfolio</w:t>
      </w:r>
    </w:p>
    <w:p>
      <w:pPr>
        <w:spacing w:before="40" w:after="40"/>
        <w:ind w:left="283"/>
      </w:pPr>
      <w:r>
        <w:rPr>
          <w:rFonts w:ascii="Calibri" w:hAnsi="Calibri"/>
          <w:b/>
          <w:color w:val="4A6B25"/>
          <w:sz w:val="20"/>
        </w:rPr>
        <w:t xml:space="preserve">2. </w:t>
      </w:r>
      <w:r>
        <w:rPr>
          <w:rFonts w:ascii="Calibri" w:hAnsi="Calibri"/>
          <w:b w:val="0"/>
          <w:color w:val="3A4A28"/>
          <w:sz w:val="20"/>
        </w:rPr>
        <w:t>$150M stock repurchase program execution at a significant discount to book value, accretive to remaining shareholders if ARI trades below NAV</w:t>
      </w:r>
    </w:p>
    <w:p>
      <w:pPr>
        <w:spacing w:before="40" w:after="40"/>
        <w:ind w:left="283"/>
      </w:pPr>
      <w:r>
        <w:rPr>
          <w:rFonts w:ascii="Calibri" w:hAnsi="Calibri"/>
          <w:b/>
          <w:color w:val="4A6B25"/>
          <w:sz w:val="20"/>
        </w:rPr>
        <w:t xml:space="preserve">3. </w:t>
      </w:r>
      <w:r>
        <w:rPr>
          <w:rFonts w:ascii="Calibri" w:hAnsi="Calibri"/>
          <w:b w:val="0"/>
          <w:color w:val="3A4A28"/>
          <w:sz w:val="20"/>
        </w:rPr>
        <w:t>Apollo Global Management's institutional platform providing access to higher-quality deal flow and credit analytics capabilities as commercial real estate lending normalizes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Further commercial real estate credit deterioration forcing additional loan loss provisions and potential sixth dividend cut, with the 123% payout ratio leaving no margin of safety</w:t>
      </w:r>
    </w:p>
    <w:p>
      <w:pPr>
        <w:spacing w:before="40" w:after="40"/>
        <w:ind w:left="283"/>
      </w:pPr>
      <w:r>
        <w:rPr>
          <w:rFonts w:ascii="Calibri" w:hAnsi="Calibri"/>
          <w:b/>
          <w:color w:val="4A6B25"/>
          <w:sz w:val="20"/>
        </w:rPr>
        <w:t xml:space="preserve">2. </w:t>
      </w:r>
      <w:r>
        <w:rPr>
          <w:rFonts w:ascii="Calibri" w:hAnsi="Calibri"/>
          <w:b w:val="0"/>
          <w:color w:val="3A4A28"/>
          <w:sz w:val="20"/>
        </w:rPr>
        <w:t>428% D/E leverage amplifying losses in a prolonged commercial real estate downturn — FY2024's -$119.6M net loss demonstrates the portfolio's downside vulnerability</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fee structure creating misaligned incentives between Apollo's fee income and ARI shareholders' total return, particularly during periods of portfolio 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ARI's core business — originating and managing large commercial real estate first mortgage loans — is structurally immune to AI disruption. Commercial real estate lending requires physical property assessment, complex legal documentation, relationship-based deal origination, and regulatory compliance that AI cannot replace [2]. The loans are secured by physical real estate assets, and the underwriting process involves human judgment on property-specific risk factors that resist algorithmic substitution. AI may incrementally improve credit analytics but cannot displace the fundamental lending relationship. AI Opportunity (0/1): No evidence of AI-generated revenue. ARI may benefit indirectly from Apollo Global Management's data analytics capabilities, but the company itself does not generate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Apollo Commercial Real Estate Finance Q1 2026 Earnings Release — $0.22 distributable EPS, $26.2M net income, $0.25/share dividend, April 2026</w:t>
      </w:r>
    </w:p>
    <w:p>
      <w:pPr>
        <w:spacing w:before="20" w:after="20"/>
        <w:ind w:left="170"/>
      </w:pPr>
      <w:r>
        <w:rPr>
          <w:rFonts w:ascii="Calibri" w:hAnsi="Calibri"/>
          <w:b/>
          <w:color w:val="4A6B25"/>
          <w:sz w:val="15"/>
        </w:rPr>
        <w:t xml:space="preserve">2. </w:t>
      </w:r>
      <w:r>
        <w:rPr>
          <w:rFonts w:ascii="Calibri" w:hAnsi="Calibri"/>
          <w:b w:val="0"/>
          <w:color w:val="3A4A28"/>
          <w:sz w:val="17"/>
        </w:rPr>
        <w:t>Apollo Global Management leadership and 'One Apollo' culture initiatives,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Apollo Commercial Real Estate Finance corporate website — company overview,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 Apollo Commercial Real Estate Finance ESG Risk Rating,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Apollo Commercial Real Estate Finance Investor Presentation, March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ARI key statistics, dividend history,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