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ARMK</w:t>
      </w:r>
      <w:r>
        <w:rPr>
          <w:rFonts w:ascii="Calibri" w:hAnsi="Calibri"/>
          <w:b/>
          <w:color w:val="1A2010"/>
          <w:sz w:val="40"/>
        </w:rPr>
        <w:t xml:space="preserve">  Aramark</w:t>
      </w:r>
    </w:p>
    <w:p>
      <w:pPr>
        <w:spacing w:after="120"/>
      </w:pPr>
      <w:r>
        <w:rPr>
          <w:rFonts w:ascii="Calibri" w:hAnsi="Calibri"/>
          <w:b/>
          <w:color w:val="6E8450"/>
          <w:sz w:val="18"/>
        </w:rPr>
        <w:t>GROWTH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Aramark provides food and facilities services to education, healthcare, business &amp; industry, sports &amp; leisure, and corrections clients in the United States and internationally. Operating through Food and Support Services United States and International segments, the company delivers managed dining, catering, facility management, custodial, and concession services. Founded in 1959 and headquartered in Philadelphia, Aramark is one of the world's largest food service and facilities management companies.</w:t>
      </w:r>
    </w:p>
    <w:p>
      <w:r>
        <w:rPr>
          <w:rFonts w:ascii="Calibri" w:hAnsi="Calibri"/>
          <w:b/>
          <w:color w:val="6E8450"/>
          <w:sz w:val="18"/>
        </w:rPr>
        <w:t>278,390 Employees · https://www.aramark.com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Aramark successfully spun off its uniform services business (Vestis Corporation) in September 2023, sharpening its focus on food and facilities management. Revenue grew from $13.7B (FY2022) to $18.5B (FY2025), a 35% increase over three years [1]. The international segment has delivered 19 consecutive quarters of double-digit organic revenue growth [1]. AI Deployment (1/2): Aramark launched 'Culinary Co-Pilot' (CCP), a proprietary AI-powered tool for menu personalization and operational efficiency, as a core component of Hospitality IQ, its enterprise-wide digital platform [2]. This is a shipping AI product with measurable operational impact, though revenue attribution is not yet quantified. Market Share (1/2): Aramark is one of the top three global food service and facilities management companies alongside Compass Group and Sodexo, with record client retention rates reported in Q1 FY2026 [1]. Pipeline (1/2): FY2026 guidance targets 7-9% organic revenue growth and 20-25% adjusted EPS growth, with strong new business wins and pipeline expansion [1]. R&amp;D Intensity (1/1): Investment in Hospitality IQ digital platform and Culinary Co-Pilot AI tool demonstrates above-average technology investment for the food services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Aramark's purpose centers on 'enriching and nourishing lives' through food, facilities, and uniforms. While clear and relevant, it is not distinctive enough to differentiate from peers — Compass Group and Sodexo articulate similar purposes [3]. Community Impact (1/2): Aramark's 'Be Well. Do Well.' sustainability platform encompasses responsible sourcing, community investment, and environmental initiatives. The company is recognized as a 'Best Place to Work for Disability Inclusion' for seven consecutive years on the Disability Equality Index [3]. Employee Retention (1/2): With 278,390 employees, Aramark faces the retention challenges typical of hospitality and food service industries. CEO John Zillmer's deep experience (nearly two decades with Aramark previously) provides leadership continuity. Glassdoor reviews are mixed, praising career development but flagging inconsistent management quality across locations [2]. Insider Buying (1/2): No significant open-market insider buying identified. Zillmer receives substantial equity compensation aligning incentives with shareholders, and the company initiated dividend payments post-Vestis spinoff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Aramark's financial profile shows strong revenue momentum offset by thin margins and high leverage. Forward P/E of 16.6x is attractive given FY2026 guidance for 20-25% adjusted EPS growth [1][5]. Revenue growth of 6.1% YoY and a 3-year CAGR of 10.6% demonstrate consistent top-line expansion, supported by record client retention and strong new business wins [1]. However, profit margin of just 1.69% is the glaring weakness — food service is inherently low-margin, and GAAP profitability is further compressed by D&amp;A and interest expense [5]. D/E of 203.4% reflects significant leverage with a target leverage ratio below 3x by FY2026 [1]. ROE of 10.0% falls below the 15% target, constrained by the thin margin profile. Liquidity is ample at $132M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Aramark demonstrates a mixed infinite/finite game orientation. The company's 67-year history and focus on essential services (feeding and serving institutions) reflect enduring value creation. CEO John Zillmer's return to the company after prior tenure shows commitment to the long game. However, the Vestis spinoff, high leverage, and focus on near-term margin expansion suggest finite-game pressures influencing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Aramark's purpose of 'enriching and nourishing lives' connects its daily operations to human wellbeing (2/3 pts). The company has served institutions for 67 years, and the Just Cause has been validated through multiple leadership transitions, economic cycles, and a pandemic. Aramark fed healthcare workers and students through COVID-19 disruptions, demonstrating that the cause guided behavior during crisis [3]. However, the purpose is shared by direct competitors and lacks the distinctiveness of a truly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positive signals (1/2 pts). Aramark's seven consecutive years as a 'Best Place to Work for Disability Inclusion' and recognition by the Human Rights Campaign and DiversityInc suggest genuine investment in workforce culture [3]. However, the food service industry inherently has high turnover, and Glassdoor reviews mention inconsistent management quality across locations. The 278,390-employee workforce is difficult to manage with uniform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Aramark demonstrates an infinite competitive mindset (1/1 pt). Management acknowledges Compass Group as the industry leader and benchmarks against it, using competitive pressure to drive improvements in client retention, digital innovation (Hospitality IQ), and international expansion [1]. The focus on 'record client retention' rather than 'crushing competitors' reflects a self-improvement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pts). The September 2023 spinoff of Vestis Corporation (uniform services) was a significant strategic move, deliberately shedding a large business segment to focus on food and facilities management [1]. This demonstrates willingness to simplify even at the cost of reduced revenue. However, the core food service business model has remained fundamentally unchanged since the company's founding in 1959.</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leadership beyond operational execution (0/2 pts). The Vestis spinoff was arguably driven by shareholder pressure for a sum-of-the-parts revaluation rather than a principled long-term bet. High leverage (D/E 203%) suggests financial engineering over organic investment. The company's recent history includes going private (2006) and re-IPO (2013), reflecting private equity-driven capital optimization rather than cause-driven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Aramark is delivering accelerating organic growth with FY2026 guidance calling for 7-9% organic revenue growth, 12-17% AOI growth, and 20-25% adjusted EPS growth, supported by record client retention and strong new business wins [1]. Q1 FY2026 revenue of $4.83B (up 6% YoY) confirmed execution, with international operations delivering a 19th consecutive quarter of double-digit organic growth [1]. At 16.6x forward earnings, Aramark is reasonably valued for a company with visible multi-year earnings growth catalysts, including margin expansion from the Culinary Co-Pilot AI platform and Hospitality IQ digital initiative [2]. The post-Vestis spinoff company is more focused, with improving leverage targeting below 3x, and a growing dividend demonstrating capital return commitment. The 278,390-employee workforce and long-term institutional client contracts create a high-barrier, recurring revenue business [5].</w:t>
      </w:r>
    </w:p>
    <w:p>
      <w:pPr>
        <w:spacing w:after="120"/>
      </w:pPr>
      <w:r>
        <w:rPr>
          <w:rFonts w:ascii="Calibri" w:hAnsi="Calibri"/>
          <w:b w:val="0"/>
          <w:color w:val="3A4A28"/>
          <w:sz w:val="20"/>
        </w:rPr>
        <w:t>The bear case focuses on thin margins, high leverage, and sector constraints. GAAP profit margin of just 1.69% leaves almost no room for error — cost inflation in food, labor, or energy could rapidly compress earnings [5]. D/E of 203.4% is among the highest in the coverage universe, and while management targets sub-3x leverage, the debt burden limits strategic flexibility and increases sensitivity to interest rate movements. ROE of 10.0% is below the IOWN 15% target, reflecting the capital intensity and thin margins inherent in food service. The trailing P/E of 36.5x versus forward P/E of 16.6x reveals how heavily the bull case depends on a massive earnings inflection — if FY2026 guidance misses, the stock has significant downside. Competition from Compass Group (larger, better-margined) and Sodexo remains intense. The correctional food services segment carries reputational risk. Finally, food service labor markets remain tight, and any minimum wage increases would disproportionately impact Aramark's cost structure given its labor-intensive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adjusted EPS growth of 20-25% driven by operating leverage, margin expansion from AI-enabled efficiency (Hospitality IQ/Culinary Co-Pilot), and deleveraging [1][2]</w:t>
      </w:r>
    </w:p>
    <w:p>
      <w:pPr>
        <w:spacing w:before="40" w:after="40"/>
        <w:ind w:left="283"/>
      </w:pPr>
      <w:r>
        <w:rPr>
          <w:rFonts w:ascii="Calibri" w:hAnsi="Calibri"/>
          <w:b/>
          <w:color w:val="4A6B25"/>
          <w:sz w:val="20"/>
        </w:rPr>
        <w:t xml:space="preserve">2. </w:t>
      </w:r>
      <w:r>
        <w:rPr>
          <w:rFonts w:ascii="Calibri" w:hAnsi="Calibri"/>
          <w:b w:val="0"/>
          <w:color w:val="3A4A28"/>
          <w:sz w:val="20"/>
        </w:rPr>
        <w:t>Record client retention and strong new business pipeline supporting 7-9% organic revenue growth, with international operations continuing 19 consecutive quarters of double-digit growth [1]</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to below 3x target, improving financial flexibility and potentially unlocking additional capital return through dividend growth and share repurchases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1.69% GAAP profit margin creates vulnerability to cost inflation in food, labor, and energy — a 50bps margin compression would wipe out ~$90M in net income [5]</w:t>
      </w:r>
    </w:p>
    <w:p>
      <w:pPr>
        <w:spacing w:before="40" w:after="40"/>
        <w:ind w:left="283"/>
      </w:pPr>
      <w:r>
        <w:rPr>
          <w:rFonts w:ascii="Calibri" w:hAnsi="Calibri"/>
          <w:b/>
          <w:color w:val="4A6B25"/>
          <w:sz w:val="20"/>
        </w:rPr>
        <w:t xml:space="preserve">2. </w:t>
      </w:r>
      <w:r>
        <w:rPr>
          <w:rFonts w:ascii="Calibri" w:hAnsi="Calibri"/>
          <w:b w:val="0"/>
          <w:color w:val="3A4A28"/>
          <w:sz w:val="20"/>
        </w:rPr>
        <w:t>High leverage (D/E 203.4%) limits strategic flexibility and increases earnings sensitivity to interest rate movements and refinancing risk [5]</w:t>
      </w:r>
    </w:p>
    <w:p>
      <w:pPr>
        <w:spacing w:before="40" w:after="40"/>
        <w:ind w:left="283"/>
      </w:pPr>
      <w:r>
        <w:rPr>
          <w:rFonts w:ascii="Calibri" w:hAnsi="Calibri"/>
          <w:b/>
          <w:color w:val="4A6B25"/>
          <w:sz w:val="20"/>
        </w:rPr>
        <w:t xml:space="preserve">3. </w:t>
      </w:r>
      <w:r>
        <w:rPr>
          <w:rFonts w:ascii="Calibri" w:hAnsi="Calibri"/>
          <w:b w:val="0"/>
          <w:color w:val="3A4A28"/>
          <w:sz w:val="20"/>
        </w:rPr>
        <w:t>Labor market tightness and potential minimum wage increases disproportionately impact Aramark's 278,390-person workforce, the majority of which is in food preparation and facility service roles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Aramark's core business of preparing and serving food, managing physical facilities, and providing on-site hospitality services involves physical-world operations that AI cannot replace [2]. You cannot use AI to cook meals, clean buildings, or serve food at a stadium. The primary threat vector is AI-driven efficiency improvements by competitors, not substitution of Aramark's core services. Long-term contracts with institutional clients (schools, hospitals, sports venues, corporations) create high switching costs and recurring revenue [1]. However, some back-office functions (scheduling, procurement optimization, menu planning) face AI-enabled competition. AI Opportunity (1/1): Aramark's Culinary Co-Pilot and Hospitality IQ platform represent genuine AI revenue enablers — using AI for menu personalization, demand forecasting, and operational efficiency across 278,000+ employees creates meaningful cost savings and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Aramark Q1 FY2026 Earnings Release — $4.83B revenue, 6% YoY growth, FY2026 guidance for 7-9% organic growth and 20-25% EPS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Aramark Corporate — Culinary Co-Pilot AI launch, Hospitality IQ platform, CEO John Zillmer leadership profile, October 2025 and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Aramark Corporate — 'Be Well. Do Well.' ESG platform, Disability Equality Index recognition, responsible sourcing commitments,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FORTUNE — Aramark ESG rating and Most Admired Companies recognition,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ARMK,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