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ARM</w:t>
      </w:r>
      <w:r>
        <w:rPr>
          <w:rFonts w:ascii="Calibri" w:hAnsi="Calibri"/>
          <w:b/>
          <w:color w:val="1A2010"/>
          <w:sz w:val="40"/>
        </w:rPr>
        <w:t xml:space="preserve">  Arm Holdings plc</w:t>
      </w:r>
    </w:p>
    <w:p>
      <w:pPr>
        <w:spacing w:after="120"/>
      </w:pPr>
      <w:r>
        <w:rPr>
          <w:rFonts w:ascii="Calibri" w:hAnsi="Calibri"/>
          <w:b/>
          <w:color w:val="6E8450"/>
          <w:sz w:val="18"/>
        </w:rPr>
        <w:t>GROWTH SLEEVE · 2026-03-30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Kingdom</w:t>
      </w:r>
    </w:p>
    <w:p>
      <w:pPr>
        <w:spacing w:after="80"/>
      </w:pPr>
      <w:r>
        <w:rPr>
          <w:rFonts w:ascii="Calibri" w:hAnsi="Calibri"/>
          <w:b w:val="0"/>
          <w:color w:val="3A4A28"/>
          <w:sz w:val="20"/>
        </w:rPr>
        <w:t>Arm Holdings designs and licenses the CPU architecture used in over 99% of smartphones and an increasing share of data center, automotive, and IoT chips. The company's business model collects licensing fees for IP designs and per-chip royalties, creating a high-margin, capital-light revenue stream. Arm is a subsidiary of SoftBank Group Corp., headquartered in Cambridge, UK.</w:t>
      </w:r>
    </w:p>
    <w:p>
      <w:r>
        <w:rPr>
          <w:rFonts w:ascii="Calibri" w:hAnsi="Calibri"/>
          <w:b/>
          <w:color w:val="6E8450"/>
          <w:sz w:val="18"/>
        </w:rPr>
        <w:t>8,330 Employees · https://www.arm.com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Under CEO Rene Haas (since 2022), Arm transformed from a mobile-focused IP licensor to an AI-era compute platform, delivering four consecutive billion-dollar revenue quarters and an 87% stock return [1]. The Armv9 architecture and Compute Subsystems (CSS) strategy moved Arm from selling blueprints to selling complete silicon subsystems, dramatically increasing royalty rates. AI Deployment (2/2): Arm has dedicated Cloud AI, Edge AI, and Physical AI business units shipping real products — enterprises running AI on Neoverse data center chips surged 14x since 2021, with a 40% increase in AI workloads in the latest quarter [1][2]. Market Share (2/2): Arm architecture is in 99% of smartphones and is rapidly gaining data center share through AWS Graviton, Microsoft Cobalt, and Google Axion custom chips — each built on Arm [2]. Pipeline (1/2): AGI-focused data center CPU announced with Meta partnership, and Compute Subsystems v2 in development, though specific launch dates and revenue visibility are less defined than peers [2]. R&amp;D Intensity (0/1): R&amp;D spending is significant in absolute terms but the IP licensing model means R&amp;D as a percentage of revenue is at or near industry average rather than above 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Arm's purpose — 'to create a future built on Arm' by enabling computing everywhere with energy-efficient architecture — is specific, differentiated, and validated by 35 years of execution since 1990 [3]. The energy efficiency angle connecting compute ubiquity with sustainability is genuinely distinctive for a semiconductor IP company. Community Impact (1/2): Arm's technology enables billions of devices globally, and the company publishes sustainability reports with emissions reduction commitments, though no specific charitable foundation or dollar amounts were identified [3]. Employee Retention (1/2): Arm's Cambridge headquarters and collaborative innovation culture are cited as retention advantages; the distributed leadership model across Cambridge and California suggests organizational maturity, though specific turnover data is unavailable [2]. Insider Buying (1/2): CFO Jason Child sold $3.1M in ARM shares recently, which is modest for a $140+ stock and likely routine compensation management; SoftBank's 90% ownership provides de facto insider alignment, though no open-market buying was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 delivered Q3 FY2026 revenue of $1.24B (up 26% YoY) with royalty revenue at a record $737M, demonstrating the power of the Armv9 higher-royalty transition [1]. D/E of 5.9% is exceptionally low — the IP licensing model requires minimal capital. ROE of 11.3% is below target but improving as the business scales. Profit margin of 17.1% is solid for a company investing heavily in growth, with non-GAAP operating margin of 41.1%. Revenue growth of 26.3% YoY easily qualifies for Growth sleeve. The primary infrastructure weakness is valuation: forward P/E of 65.8x exceeds the 60x floor, reflecting extreme growth expectations [4]. Liquidity easily cleared: 5.8M avg vol × $140.60 = $816M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Arm under CEO Rene Haas is playing a long game — the company has spent 35 years building the ecosystem that now powers AI inference, and its architecture-first approach means Arm earns royalties on every chip for decades. However, the aggressive shift to value-based pricing and Compute Subsystems (competing with licensees) introduces finite game tensions, and SoftBank's majority ownership creates short-term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Arm's vision of ubiquitous, energy-efficient computing has been validated across 35 years and multiple technology eras — from mobile to IoT to AI [2]. The architecture powers 99% of smartphones and is now expanding into data centers, automotive, and robotics. This is a Just Cause that has survived leadership transitions (from founding to Hermann Hauser to current), SoftBank acquisition, and multiple industry disruptions. The energy efficiency angle connects compute expansion to sustainability.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Arm's 'collaborative innovation' culture and distributed Cambridge-California leadership model suggest organizational trust, and the company's 8,330 employees operate across complex IP licensing relationships requiring high coordination [2]. However, CEO Haas's shift to 'commercially aggressive' value-based pricing represents a cultural change from the engineering-first ethos that defined Arm for decades, which may create internal friction.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 explicitly acknowledges RISC-V as a competitive threat and has responded by increasing the value proposition of its ecosystem rather than merely defending territory — Compute Subsystems and higher-value IP packages are direct responses to the open-source alternative [2]. The partnership approach with hyperscalers (enabling AWS, Google, Microsoft to build custom chips) rather than competing with them shows ecosystem thinking over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Arm's pivot from pure IP licensing (selling blueprints) to Compute Subsystems (selling complete silicon subsystems) under Haas is a significant business model transformation that risks alienating licensees but positions the company for higher value capture [2]. The creation of three dedicated AI business units (Cloud AI, Edge AI, Physical AI) represents organizational flexibility in response to the AI era. The Meta AGI partnership shows willingness to pursue new market structures.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Haas's decision to shift to value-based pricing — capturing a larger share of each chip's value rather than flat licensing fees — was commercially courageous, risking partner relationships for higher margins [2]. The move into Compute Subsystems, which puts Arm in partial competition with its own licensees, required conviction that ecosystem value would outweigh partner friction. However, SoftBank's 90% ownership limits the independence of leadership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Arm Holdings is the foundational architecture of the AI era — its CPU designs power 99% of smartphones and are rapidly penetrating data centers through AWS Graviton, Microsoft Cobalt, Google Axion, and Meta's custom silicon [1][2]. Q3 FY2026 revenue of $1.24B (up 26% YoY) with record royalty revenue of $737M demonstrates the Armv9 higher-royalty transition is working, while Q2 licensing revenue surged 56% as hyperscalers signed next-generation AI architecture deals [1]. The capital-light IP licensing model (D/E of 5.9%, non-GAAP operating margin 41.1%) generates exceptional free cash flow. AI workloads on Arm Neoverse grew 14x since 2021, and the shift from AI training to inference — where Arm's energy efficiency is decisive — positions the company as infrastructure's infrastructure [2].</w:t>
      </w:r>
    </w:p>
    <w:p>
      <w:pPr>
        <w:spacing w:after="120"/>
      </w:pPr>
      <w:r>
        <w:rPr>
          <w:rFonts w:ascii="Calibri" w:hAnsi="Calibri"/>
          <w:b w:val="0"/>
          <w:color w:val="3A4A28"/>
          <w:sz w:val="20"/>
        </w:rPr>
        <w:t>The bear case centers on valuation and competitive threats. At 65.8x forward P/E and 187.5x trailing P/E, ARM stock prices in a decade of uninterrupted 25%+ growth — any deceleration will compress multiples severely [4]. RISC-V is the existential threat: this open-source architecture is free to use and gaining traction in China and low-cost IoT segments, potentially fragmenting Arm's ecosystem over time [2]. The move to Compute Subsystems and value-based pricing risks alienating key licensees like Qualcomm (which is already in legal dispute with Arm over licensing terms). SoftBank's 90% ownership creates overhang — any secondary offering would pressure the stock. Profit margin of 17.1% GAAP is below expectations for an IP licensing business, partly due to heavy investment in the CSS strategy. CFO Jason Child's $3.1M share sale, while modest, is not an encouraging insider signal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inference shift — as AI moves from training (GPU clusters) to inference (edge devices, phones, PCs), Arm's energy-efficient architecture becomes the dominant compute platform for trillions of devices [1][2]</w:t>
      </w:r>
    </w:p>
    <w:p>
      <w:pPr>
        <w:spacing w:before="40" w:after="40"/>
        <w:ind w:left="283"/>
      </w:pPr>
      <w:r>
        <w:rPr>
          <w:rFonts w:ascii="Calibri" w:hAnsi="Calibri"/>
          <w:b/>
          <w:color w:val="4A6B25"/>
          <w:sz w:val="20"/>
        </w:rPr>
        <w:t xml:space="preserve">2. </w:t>
      </w:r>
      <w:r>
        <w:rPr>
          <w:rFonts w:ascii="Calibri" w:hAnsi="Calibri"/>
          <w:b w:val="0"/>
          <w:color w:val="3A4A28"/>
          <w:sz w:val="20"/>
        </w:rPr>
        <w:t>Armv9 royalty rate uplift — each new chip generation on Armv9 pays higher per-chip royalties, creating a structural revenue growth tailwind as the installed base transitions [1]</w:t>
      </w:r>
    </w:p>
    <w:p>
      <w:pPr>
        <w:spacing w:before="40" w:after="40"/>
        <w:ind w:left="283"/>
      </w:pPr>
      <w:r>
        <w:rPr>
          <w:rFonts w:ascii="Calibri" w:hAnsi="Calibri"/>
          <w:b/>
          <w:color w:val="4A6B25"/>
          <w:sz w:val="20"/>
        </w:rPr>
        <w:t xml:space="preserve">3. </w:t>
      </w:r>
      <w:r>
        <w:rPr>
          <w:rFonts w:ascii="Calibri" w:hAnsi="Calibri"/>
          <w:b w:val="0"/>
          <w:color w:val="3A4A28"/>
          <w:sz w:val="20"/>
        </w:rPr>
        <w:t>Data center expansion — hyperscaler custom chip programs (AWS, Google, Microsoft, Meta) are all built on Arm, with 40% growth in enterprise AI workloads on Arm Neoverse in the latest quarter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compression — at 65.8x forward P/E, any deceleration in revenue growth or margin expansion could trigger significant multiple contraction [4]</w:t>
      </w:r>
    </w:p>
    <w:p>
      <w:pPr>
        <w:spacing w:before="40" w:after="40"/>
        <w:ind w:left="283"/>
      </w:pPr>
      <w:r>
        <w:rPr>
          <w:rFonts w:ascii="Calibri" w:hAnsi="Calibri"/>
          <w:b/>
          <w:color w:val="4A6B25"/>
          <w:sz w:val="20"/>
        </w:rPr>
        <w:t xml:space="preserve">2. </w:t>
      </w:r>
      <w:r>
        <w:rPr>
          <w:rFonts w:ascii="Calibri" w:hAnsi="Calibri"/>
          <w:b w:val="0"/>
          <w:color w:val="3A4A28"/>
          <w:sz w:val="20"/>
        </w:rPr>
        <w:t>RISC-V competition — the open-source architecture is free to implement and gaining adoption in China and cost-sensitive segments, threatening Arm's licensing moat long-term [2]</w:t>
      </w:r>
    </w:p>
    <w:p>
      <w:pPr>
        <w:spacing w:before="40" w:after="40"/>
        <w:ind w:left="283"/>
      </w:pPr>
      <w:r>
        <w:rPr>
          <w:rFonts w:ascii="Calibri" w:hAnsi="Calibri"/>
          <w:b/>
          <w:color w:val="4A6B25"/>
          <w:sz w:val="20"/>
        </w:rPr>
        <w:t xml:space="preserve">3. </w:t>
      </w:r>
      <w:r>
        <w:rPr>
          <w:rFonts w:ascii="Calibri" w:hAnsi="Calibri"/>
          <w:b w:val="0"/>
          <w:color w:val="3A4A28"/>
          <w:sz w:val="20"/>
        </w:rPr>
        <w:t>Licensee friction — Arm's move into Compute Subsystems and value-based pricing puts it in partial competition with licensees like Qualcomm, risking ecosystem fragmentation and legal disputes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Arm IS AI infrastructure — its architecture powers the custom AI chips being designed by every major hyperscaler (AWS Graviton, Microsoft Cobalt, Google Axion, Meta's custom silicon) [1][2]. AI cannot disrupt Arm because AI workloads require the compute architecture Arm provides. The shift from AI training (GPU-dominated) to inference (energy-efficient, ubiquitous deployment) plays directly into Arm's strengths in power efficiency. Data center AI workloads on Arm Neoverse grew 14x since 2021. The only structural risk is RISC-V as an open-source alternative, but Arm's ecosystem (toolchains, software, developer community) creates massive switching costs [2]. AI Opportunity (1/1): Arm generates direct AI revenue through licensing and royalties on AI-specific chip designs — Q2 FY2026 licensing revenue surged 56% YoY driven by next-generation AI architecture deals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Arm Holdings Q3 FY2026 Earnings Release — $1.24B revenue (26% YoY), record $737M royalty revenue, January 2026</w:t>
      </w:r>
    </w:p>
    <w:p>
      <w:pPr>
        <w:spacing w:before="20" w:after="20"/>
        <w:ind w:left="170"/>
      </w:pPr>
      <w:r>
        <w:rPr>
          <w:rFonts w:ascii="Calibri" w:hAnsi="Calibri"/>
          <w:b/>
          <w:color w:val="4A6B25"/>
          <w:sz w:val="15"/>
        </w:rPr>
        <w:t xml:space="preserve">2. </w:t>
      </w:r>
      <w:r>
        <w:rPr>
          <w:rFonts w:ascii="Calibri" w:hAnsi="Calibri"/>
          <w:b w:val="0"/>
          <w:color w:val="3A4A28"/>
          <w:sz w:val="17"/>
        </w:rPr>
        <w:t>Klover.ai, ainvest.com, Motley Fool — Arm AI strategy analysis, RISC-V competitive risk, CEO Rene Haas leadership, 2025-2026</w:t>
      </w:r>
    </w:p>
    <w:p>
      <w:pPr>
        <w:spacing w:before="20" w:after="20"/>
        <w:ind w:left="170"/>
      </w:pPr>
      <w:r>
        <w:rPr>
          <w:rFonts w:ascii="Calibri" w:hAnsi="Calibri"/>
          <w:b/>
          <w:color w:val="4A6B25"/>
          <w:sz w:val="15"/>
        </w:rPr>
        <w:t xml:space="preserve">3. </w:t>
      </w:r>
      <w:r>
        <w:rPr>
          <w:rFonts w:ascii="Calibri" w:hAnsi="Calibri"/>
          <w:b w:val="0"/>
          <w:color w:val="3A4A28"/>
          <w:sz w:val="17"/>
        </w:rPr>
        <w:t>Arm Holdings Sustainable Business Report 2024, S&amp;P Global ESG assessment, CFO insider selling,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ARM (Arm Holdings),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