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AROC</w:t>
      </w:r>
      <w:r>
        <w:rPr>
          <w:rFonts w:ascii="Calibri" w:hAnsi="Calibri"/>
          <w:b/>
          <w:color w:val="1A2010"/>
          <w:sz w:val="40"/>
        </w:rPr>
        <w:t xml:space="preserve">  Archrock, Inc.</w:t>
      </w:r>
    </w:p>
    <w:p>
      <w:pPr>
        <w:spacing w:after="120"/>
      </w:pPr>
      <w:r>
        <w:rPr>
          <w:rFonts w:ascii="Calibri" w:hAnsi="Calibri"/>
          <w:b/>
          <w:color w:val="6E8450"/>
          <w:sz w:val="18"/>
        </w:rPr>
        <w:t>DIVIDEND SLEEVE · 2026-04-24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Archrock is the largest owner and operator of natural gas compression equipment in the United States. The company provides contract compression services and aftermarket parts/maintenance to oil and gas producers, processors, gatherers, and transporters through its fleet of compression equipment. Founded in 1990 and headquartered in Houston, Texas.</w:t>
      </w:r>
    </w:p>
    <w:p>
      <w:r>
        <w:rPr>
          <w:rFonts w:ascii="Calibri" w:hAnsi="Calibri"/>
          <w:b/>
          <w:color w:val="6E8450"/>
          <w:sz w:val="18"/>
        </w:rPr>
        <w:t>1,350 Employees · https://www.archrock.com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Archrock completed the acquisition of Total Operations and Production Services (TOPS) in 2024, expanding its compression fleet and market position, but the core contract compression business model has not fundamentally changed over the past five years [1]. AI Deployment (1/2): The company has deployed innovative technology in field operations including remote monitoring and predictive maintenance for its compression fleet, though no specific AI products shipping to customers or quantified AI-driven savings have been reported [2]. Market Share (2/2): Archrock is the largest natural gas compression provider in the U.S. by fleet horsepower, a dominant position in a fragmented market that has been consolidated through the TOPS acquisition — revenue surged 28.7% in Q4 2025 and 15.5% for full year 2025 [1]. Pipeline (0/2): No specific next-generation products or technology platforms announced with timelines; growth is driven by horsepower expansion with ~170,000 HP deliveries planned for 2026 [1]. R&amp;D Intensity (1/1): Archrock invests in emissions compliance technology and fleet modernization above typical oilfield services peers, positioning as a 'cleaner energy' compression provider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Archrock's stated purpose — 'We Power a Cleaner America' — is specific and connects the company's natural gas compression work to a larger environmental narrative, but remains primarily a marketing tagline rather than a deeply validated transformative cause [3]. Community Impact (1/2): Archrock has general community engagement and sustainability reporting with SBTi-aligned emissions targets, but no distinctive large-scale charitable foundation or quantified community programs [3]. Employee Retention (2/2): Outstanding Glassdoor rating of 4.5/5 with 89% recommending to a friend, 4.5 for culture and values, and 4.4 for career opportunities — significantly above industry average for oilfield services, suggesting employees believe in the company's purpose and culture [2]. Insider Buying (0/2): No meaningful insider buying data found in recent filings; executive compensation is primarily through stock grants rather than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Archrock's financial profile is excellent with strong growth momentum. Revenue of $1.49B (up 15.5% YoY) with 21.6% profit margin and 22.9% ROE reflects efficient operations and pricing power in a tight compression market [1][5]. Forward P/E of 15.8x is attractive for a company delivering double-digit revenue growth, and the TOPS acquisition has been accretive to margins. D/E of 162.6% reflects acquisition-related leverage ($2.43B debt against minimal cash) but is manageable given the strong cash flow generation ($622M operating cash flow) [5]. Adjusted EBITDA guidance of $865-$915M for 2026 (midpoint $890M) implies continued margin expansion [1]. Dividend yield of 2.29% with 12 consecutive years paid and 6.6% five-year dividend growth CAGR demonstrates growing income quality, though only 3 consecutive years of growth post-COVID freeze [5]. Liquidity floor cleared: 1.66M avg vol × $36.19 = $60M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Archrock demonstrates meaningful infinite game characteristics through CEO Brad Childers' 14-year tenure, exceptional employee culture (4.5/5 Glassdoor), and consistent investment in fleet expansion through multiple energy cycles. The company has maintained its compression services focus for 35+ years while evolving toward cleaner energy positioning, though the business model has not required transformative reinvention.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Archrock's 'We Power a Cleaner America' purpose connects natural gas compression to a larger energy transition narrative and has been consistently articulated under Childers' 14-year leadership [3]. The company's commitment to environmental stewardship through SBTi-aligned emissions targets and emissions compliance technology demonstrates some intentionality behind the tagline. However, the cause has not been tested through a genuine strategic pivot or sacrifice. Just Cause: 2/3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Archrock's 4.5/5 Glassdoor rating with 89% recommendation rate and 4.5 for culture and values is exceptional for oilfield services, an industry not known for strong workplace cultures [2]. CEO Brad Childers' 14-year tenure and CHRO Elspeth Inglis' background in culture integration (from the Baker Hughes/GE merger) suggest intentional investment in organizational trust. Field workers consistently cite strong safety culture and training programs. Trusting Teams: 2/2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Archrock has acknowledged competitive strengths of peers like USA Compression Partners and CSI Compressco, using competitive dynamics to improve its own fleet modernization and service quality rather than pursuing market dominance through destructive pricing [1]. The TOPS acquisition expanded capabilities rather than eliminating a competitor. Worthy Rivals: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Archrock evolved from Exterran Holdings (rebranded 2015), narrowing its focus from a diversified oilfield services company to a pure-play compression provider — a strategic simplification that sharpened execution [3]. The company has incrementally adapted by adding aftermarket services, remote monitoring, and emissions-compliant equipment. However, the core contract compression model has remained unchanged for decades. Existential Flexibility: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Archrock demonstrated courage by maintaining fleet expansion investments during the 2020 energy downturn when many oilfield services companies cut capital spending dramatically. The TOPS acquisition in 2024 was a significant growth bet ($250-275M growth CapEx in 2026) financed with debt during an uncertain interest rate environment [1]. However, these decisions aligned with market momentum rather than requiring genuine sacrifice. Courage to Lead: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Archrock is the dominant U.S. natural gas compression provider riding a structural growth cycle fueled by rising natural gas demand from AI data centers, LNG exports, and domestic power generation. Full-year 2025 revenue of $1.49B (up 15.5% YoY) with adjusted EBITDA up 51% and adjusted EPS up 68% demonstrates exceptional operational leverage [1]. 2026 guidance of $865-$915M adjusted EBITDA with ~170,000 HP deliveries planned reflects continued momentum. At 15.8x forward P/E with 22.9% ROE and 21.6% profit margin, AROC offers compelling growth at a reasonable valuation with a 2.29% dividend yield that has been paid for 12 consecutive years and growing at 6.6% CAGR [5]. CEO Brad Childers' 14-year tenure and a 4.5/5 Glassdoor rating suggest stable, culture-driven execution [2].</w:t>
      </w:r>
    </w:p>
    <w:p>
      <w:pPr>
        <w:spacing w:after="120"/>
      </w:pPr>
      <w:r>
        <w:rPr>
          <w:rFonts w:ascii="Calibri" w:hAnsi="Calibri"/>
          <w:b w:val="0"/>
          <w:color w:val="3A4A28"/>
          <w:sz w:val="20"/>
        </w:rPr>
        <w:t>The bear case centers on energy cycle dependence and leverage. D/E of 162.6% with $2.43B in total debt creates interest rate sensitivity and limits financial flexibility during an energy downturn — natural gas prices and drilling activity directly drive compression demand [5]. The TOPS acquisition inflated revenue growth rates that will normalize; organic growth is more modest. Net income guidance of $306-$356M for 2026 is potentially below 2025's $322M (which included $47M in asset sale gains and $33M in tax settlements), so underlying earnings growth may be slower than headline EBITDA suggests [1]. Archrock's business is tied to fossil fuel infrastructure — a long-duration energy transition could eventually reduce demand, though this risk is decades away. The 1,350-employee company has limited diversification beyond U.S. compression and is vulnerable to regulatory changes affecting natural gas drilling on federal lands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structural natural gas demand growth — CEO Childers has cited AI onshoring as a significant catalyst for compression services demand [2]</w:t>
      </w:r>
    </w:p>
    <w:p>
      <w:pPr>
        <w:spacing w:before="40" w:after="40"/>
        <w:ind w:left="283"/>
      </w:pPr>
      <w:r>
        <w:rPr>
          <w:rFonts w:ascii="Calibri" w:hAnsi="Calibri"/>
          <w:b/>
          <w:color w:val="4A6B25"/>
          <w:sz w:val="20"/>
        </w:rPr>
        <w:t xml:space="preserve">2. </w:t>
      </w:r>
      <w:r>
        <w:rPr>
          <w:rFonts w:ascii="Calibri" w:hAnsi="Calibri"/>
          <w:b w:val="0"/>
          <w:color w:val="3A4A28"/>
          <w:sz w:val="20"/>
        </w:rPr>
        <w:t>2026 adjusted EBITDA guidance of $865-$915M with ~170,000 HP of fleet deliveries, 60% expected in H1 2026, driving near-term revenue and earnings growth [1]</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6.6% five-year CAGR with recent increases, supported by strong operating cash flow of $622M and manageable 43.7% payout ratio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Natural gas price and drilling activity cyclicality — a sustained gas price decline below $2/MMBtu would reduce compression demand and pricing power [1]</w:t>
      </w:r>
    </w:p>
    <w:p>
      <w:pPr>
        <w:spacing w:before="40" w:after="40"/>
        <w:ind w:left="283"/>
      </w:pPr>
      <w:r>
        <w:rPr>
          <w:rFonts w:ascii="Calibri" w:hAnsi="Calibri"/>
          <w:b/>
          <w:color w:val="4A6B25"/>
          <w:sz w:val="20"/>
        </w:rPr>
        <w:t xml:space="preserve">2. </w:t>
      </w:r>
      <w:r>
        <w:rPr>
          <w:rFonts w:ascii="Calibri" w:hAnsi="Calibri"/>
          <w:b w:val="0"/>
          <w:color w:val="3A4A28"/>
          <w:sz w:val="20"/>
        </w:rPr>
        <w:t>Acquisition-related leverage at 162.6% D/E with $2.43B total debt creates interest expense headwinds and limits financial flexibility during an energy downturn [5]</w:t>
      </w:r>
    </w:p>
    <w:p>
      <w:pPr>
        <w:spacing w:before="40" w:after="40"/>
        <w:ind w:left="283"/>
      </w:pPr>
      <w:r>
        <w:rPr>
          <w:rFonts w:ascii="Calibri" w:hAnsi="Calibri"/>
          <w:b/>
          <w:color w:val="4A6B25"/>
          <w:sz w:val="20"/>
        </w:rPr>
        <w:t xml:space="preserve">3. </w:t>
      </w:r>
      <w:r>
        <w:rPr>
          <w:rFonts w:ascii="Calibri" w:hAnsi="Calibri"/>
          <w:b w:val="0"/>
          <w:color w:val="3A4A28"/>
          <w:sz w:val="20"/>
        </w:rPr>
        <w:t>Regulatory risk from potential restrictions on federal lands drilling or methane emission regulations increasing compliance costs for compression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Natural gas compression is a physical-world infrastructure service that AI cannot displace — compressors must be physically installed, operated, and maintained at well sites and gathering systems. There is zero substitution risk from AI. Moreover, the AI data center buildout is a direct demand driver for Archrock: AI data centers require massive electricity generation, which drives demand for natural gas, which requires compression services. CEO Brad Childers has explicitly cited 'onshoring of AI data centers' as a growth catalyst requiring significant natural gas infrastructure [2]. AI Opportunity (1/1): While Archrock does not sell AI products, the company benefits directly from AI-driven energy demand — its compression services are essential infrastructure for the natural gas that powers AI data centers, creating an indirect but quantifiable AI revenue tailwind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Archrock Q4 2025 Earnings Release and 2026 Financial Guidance — $1.49B revenue, 15.5% growth, $865-$915M EBITDA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Archrock Leadership Team, CEO Brad Childers commentary, Glassdoor Reviews (4.5/5, 89% recommend), 2025-2026</w:t>
      </w:r>
    </w:p>
    <w:p>
      <w:pPr>
        <w:spacing w:before="20" w:after="20"/>
        <w:ind w:left="170"/>
      </w:pPr>
      <w:r>
        <w:rPr>
          <w:rFonts w:ascii="Calibri" w:hAnsi="Calibri"/>
          <w:b/>
          <w:color w:val="4A6B25"/>
          <w:sz w:val="15"/>
        </w:rPr>
        <w:t xml:space="preserve">3. </w:t>
      </w:r>
      <w:r>
        <w:rPr>
          <w:rFonts w:ascii="Calibri" w:hAnsi="Calibri"/>
          <w:b w:val="0"/>
          <w:color w:val="3A4A28"/>
          <w:sz w:val="17"/>
        </w:rPr>
        <w:t>Archrock 2022 Sustainability Report and CEO Sustainability Message — 'We Power a Cleaner America', SBTi targets, emissions compliance</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AROC insider transactions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AROC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