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ARRY</w:t>
      </w:r>
      <w:r>
        <w:rPr>
          <w:rFonts w:ascii="Calibri" w:hAnsi="Calibri"/>
          <w:b/>
          <w:color w:val="1A2010"/>
          <w:sz w:val="40"/>
        </w:rPr>
        <w:t xml:space="preserve">  Array Technologies, Inc.</w:t>
      </w:r>
    </w:p>
    <w:p>
      <w:pPr>
        <w:spacing w:after="120"/>
      </w:pPr>
      <w:r>
        <w:rPr>
          <w:rFonts w:ascii="Calibri" w:hAnsi="Calibri"/>
          <w:b/>
          <w:color w:val="6E8450"/>
          <w:sz w:val="18"/>
        </w:rPr>
        <w:t>GROWTH SLEEVE · 2026-03-30 · Inspire: 68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Array Technologies designs and manufactures ground-mounted solar tracking systems for utility-scale solar energy projects, offering DuraTrack, OmniTrack, SkyLink, and SmarTrack products across the Americas, EMEA, and Asia-Pacific markets.</w:t>
      </w:r>
    </w:p>
    <w:p>
      <w:r>
        <w:rPr>
          <w:rFonts w:ascii="Calibri" w:hAnsi="Calibri"/>
          <w:b/>
          <w:color w:val="6E8450"/>
          <w:sz w:val="18"/>
        </w:rPr>
        <w:t>1,200 Employees · https://arraytechinc.com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Array has built a meaningful product innovation pipeline with OmniTrack, SkyLink, and Hail XP products now comprising nearly 40% of the total order book [1]. The SmarTrack software enhancement adding backtracking and diffuse optimization for uneven terrains demonstrates genuine R&amp;D capability [3]. The company has articulated an AI roadmap to apply 'transformational technology in all areas of the business,' though this is early-stage [3]. However, Gamechange Solar has overtaken Array as the #2 U.S. tracker provider behind Nextracker, and Chinese manufacturer Arctech is gaining share internationally — suggesting innovation alone isn't maintaining competitive position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shows a mediocre 3.1/5.0 rating with only 50% recommending the company and 48% seeing a positive outlook [4]. Positive reviews cite a cooperative, diverse environment with strong compensation [4]. Negative reviews describe toxic leadership, a CEO 'more concerned with talking about himself,' a President who 'rules with fear,' and nepotism hires [4]. The clean energy mission provides inherent inspiration, but leadership behavior undermines it. CEO compensation of $8.87M while the company is unprofitable raises alignment concerns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grew 40% to $1.3B in FY2025 with a record $2.2B order book, demonstrating strong demand [1]. However, gross margins compressed sharply from 32.5% to 23.2%, the company reported a $112M net loss, and Q4 included a $103M goodwill impairment charge [1][3]. Debt-to-equity of 294% is elevated. Forward P/E of 8.2 on $0.88 expected EPS looks reasonable, and 2026 guidance of $1.4-1.5B revenue with $200-230M adjusted EBITDA suggests a path to profitability [1]. Tariff pressures and margin compression from intensifying competition remain headwinds. Liquidity floor: 6.3M × $7.18 = $45M — passes comfortably.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Array operates in an inherently infinite-game industry — the energy transition is a multi-decade transformation. The $2.2B order book and international expansion show long-term thinking, but margin compression, leadership culture concerns, and reactive tariff responses suggest finite-game pressures dominate near-term decision-making.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the global energy transition through solar tracking technology is a compelling just cause with genuine societal impact [5]. The company's use of traceable American supply chains and low-carbon American steel adds substance to the mission [5]. Three consecutive annual ESG reports with Science-Based Targets progress demonstrate commitment beyond rhetoric.</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3.1/5.0 rating with 3.0 for culture/values signals significant trust deficits [4]. Reviews describe leadership ruling 'with fear,' nepotism hires, and a workplace that 'got so toxic overnight' [4]. The disconnect between C-suite based outside Arizona and on-the-ground operations suggests a detached leadership model. Only 48% positive business outlook indicates teams lack confidence in direction.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Array competes against Nextracker (#1), Gamechange Solar (now #2, having overtaken Array), and Arctech internationally [1]. Losing the #2 position to Gamechange suggests Array is not responding effectively to competitive pressure. The record order book is encouraging, but margin compression from intensifying competition signals pricing power erosion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international expansion into EMEA and Latin America with DuraTrack technology and the next-generation OmniTrack launch show strategic evolution [1]. Diversification beyond U.S. utility-scale into global markets reduces single-market dependency. However, the heavy reliance on U.S. policy (IRA, 45X credits, tariffs) creates vulnerability that international expansion alone doesn't fully address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guided 2026 revenue growth of 9-17% with improved EBITDA margins, which is measured rather than bold [1]. The $103M goodwill impairment charge and Bank of America's downgrade to Underperform reflect market skepticism about execution [3]. CEO compensation of $8.87M (90.4% bonuses) while the company posted a $112M net loss raises questions about leadership alignment with shareholder outcomes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Array Technologies is a solar tracker manufacturer riding the long-term energy transition tailwind, with FY2025 revenue up 40% to $1.3B and a record $2.2B order book signaling robust demand. New products (OmniTrack, SkyLink, Hail XP) now represent nearly 40% of orders, and international expansion diversifies beyond U.S. policy dependency.</w:t>
      </w:r>
    </w:p>
    <w:p>
      <w:pPr>
        <w:spacing w:after="120"/>
      </w:pPr>
      <w:r>
        <w:rPr>
          <w:rFonts w:ascii="Calibri" w:hAnsi="Calibri"/>
          <w:b w:val="0"/>
          <w:color w:val="3A4A28"/>
          <w:sz w:val="20"/>
        </w:rPr>
        <w:t>However, the investment case is clouded by severe margin compression (gross margins falling from 32.5% to 23.2%), a $112M net loss, $103M goodwill impairment, and 294% debt-to-equity. Array lost its #2 U.S. market position to Gamechange Solar while facing tariff headwinds and Glassdoor-documented leadership dysfunction. The 2026 guidance of $1.4-1.5B revenue and $200-230M adjusted EBITDA suggests a path to profitability, but execution risk is elevated given competitive intensity and policy uncertainty around IRA credits and tariffs.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$2.2B order book converting to $1.4-1.5B in 2026 revenue with improving adjusted EBITDA margins to $200-230M</w:t>
      </w:r>
    </w:p>
    <w:p>
      <w:pPr>
        <w:spacing w:before="40" w:after="40"/>
        <w:ind w:left="283"/>
      </w:pPr>
      <w:r>
        <w:rPr>
          <w:rFonts w:ascii="Calibri" w:hAnsi="Calibri"/>
          <w:b/>
          <w:color w:val="4A6B25"/>
          <w:sz w:val="20"/>
        </w:rPr>
        <w:t xml:space="preserve">2. </w:t>
      </w:r>
      <w:r>
        <w:rPr>
          <w:rFonts w:ascii="Calibri" w:hAnsi="Calibri"/>
          <w:b w:val="0"/>
          <w:color w:val="3A4A28"/>
          <w:sz w:val="20"/>
        </w:rPr>
        <w:t>AI datacenter electricity demand boom driving accelerated utility-scale solar deployment, benefiting tracker manufacturers</w:t>
      </w:r>
    </w:p>
    <w:p>
      <w:pPr>
        <w:spacing w:before="40" w:after="40"/>
        <w:ind w:left="283"/>
      </w:pPr>
      <w:r>
        <w:rPr>
          <w:rFonts w:ascii="Calibri" w:hAnsi="Calibri"/>
          <w:b/>
          <w:color w:val="4A6B25"/>
          <w:sz w:val="20"/>
        </w:rPr>
        <w:t xml:space="preserve">3. </w:t>
      </w:r>
      <w:r>
        <w:rPr>
          <w:rFonts w:ascii="Calibri" w:hAnsi="Calibri"/>
          <w:b w:val="0"/>
          <w:color w:val="3A4A28"/>
          <w:sz w:val="20"/>
        </w:rPr>
        <w:t>Next-generation OmniTrack product launch and international expansion into EMEA and Latin America opening new growth vectors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compression from 32.5% to 23.2% may persist as competition from Nextracker, Gamechange, and Chinese manufacturers intensifies pricing pressure</w:t>
      </w:r>
    </w:p>
    <w:p>
      <w:pPr>
        <w:spacing w:before="40" w:after="40"/>
        <w:ind w:left="283"/>
      </w:pPr>
      <w:r>
        <w:rPr>
          <w:rFonts w:ascii="Calibri" w:hAnsi="Calibri"/>
          <w:b/>
          <w:color w:val="4A6B25"/>
          <w:sz w:val="20"/>
        </w:rPr>
        <w:t xml:space="preserve">2. </w:t>
      </w:r>
      <w:r>
        <w:rPr>
          <w:rFonts w:ascii="Calibri" w:hAnsi="Calibri"/>
          <w:b w:val="0"/>
          <w:color w:val="3A4A28"/>
          <w:sz w:val="20"/>
        </w:rPr>
        <w:t>Tariff exposure and IRA/45X credit uncertainty create policy-dependent revenue risk, with potential changes to domestic content requirements</w:t>
      </w:r>
    </w:p>
    <w:p>
      <w:pPr>
        <w:spacing w:before="40" w:after="40"/>
        <w:ind w:left="283"/>
      </w:pPr>
      <w:r>
        <w:rPr>
          <w:rFonts w:ascii="Calibri" w:hAnsi="Calibri"/>
          <w:b/>
          <w:color w:val="4A6B25"/>
          <w:sz w:val="20"/>
        </w:rPr>
        <w:t xml:space="preserve">3. </w:t>
      </w:r>
      <w:r>
        <w:rPr>
          <w:rFonts w:ascii="Calibri" w:hAnsi="Calibri"/>
          <w:b w:val="0"/>
          <w:color w:val="3A4A28"/>
          <w:sz w:val="20"/>
        </w:rPr>
        <w:t>Debt-to-equity of 294% and $112M net loss limit financial flexibility, with $103M goodwill impairment signaling potential further asset writedowns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moderate enabler for Array Technologies with limited direct threat. The company's SmarTrack software already leverages algorithmic optimization for solar tracking efficiency, and management has committed to an AI roadmap spanning operations, design, and customer service [3]. AI-driven datacenter growth is a significant tailwind, driving increased demand for utility-scale solar installations [3]. The core manufacturing business involves physical products with high barriers — you can't disrupt a steel tracker with software alone. However, competitors like Nextracker also leverage AI/ML for panel optimization, and AI-driven design tools could commoditize tracker engineering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Array Technologies FY2025 Results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ARRY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Array Technologies Q4 2025 Earnings Call Transcript and analyst commentary, February 2026</w:t>
      </w:r>
    </w:p>
    <w:p>
      <w:pPr>
        <w:spacing w:before="20" w:after="20"/>
        <w:ind w:left="170"/>
      </w:pPr>
      <w:r>
        <w:rPr>
          <w:rFonts w:ascii="Calibri" w:hAnsi="Calibri"/>
          <w:b/>
          <w:color w:val="4A6B25"/>
          <w:sz w:val="15"/>
        </w:rPr>
        <w:t xml:space="preserve">4. </w:t>
      </w:r>
      <w:r>
        <w:rPr>
          <w:rFonts w:ascii="Calibri" w:hAnsi="Calibri"/>
          <w:b w:val="0"/>
          <w:color w:val="3A4A28"/>
          <w:sz w:val="17"/>
        </w:rPr>
        <w:t>Glassdoor — Array Technologies employee reviews (71 reviews),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Array Technologies Third Annual ESG Report,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