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ARR</w:t>
      </w:r>
      <w:r>
        <w:rPr>
          <w:rFonts w:ascii="Calibri" w:hAnsi="Calibri"/>
          <w:b/>
          <w:color w:val="1A2010"/>
          <w:sz w:val="40"/>
        </w:rPr>
        <w:t xml:space="preserve">  ARMOUR Residential REIT, Inc.</w:t>
      </w:r>
    </w:p>
    <w:p>
      <w:pPr>
        <w:spacing w:after="120"/>
      </w:pPr>
      <w:r>
        <w:rPr>
          <w:rFonts w:ascii="Calibri" w:hAnsi="Calibri"/>
          <w:b/>
          <w:color w:val="6E8450"/>
          <w:sz w:val="18"/>
        </w:rPr>
        <w:t>DIVIDEND SLEEVE · 2026-04-07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ARMOUR Residential REIT invests in residential mortgage-backed securities (MBS) issued or guaranteed by U.S. government-sponsored entities (GSEs) and GNMA. The portfolio primarily consists of agency-backed fixed rate, hybrid adjustable rate, and adjustable-rate MBS, along with U.S. treasuries and money market instruments. Founded in 2008 and based in Vero Beach, Florida.</w:t>
      </w:r>
    </w:p>
    <w:p>
      <w:r>
        <w:rPr>
          <w:rFonts w:ascii="Calibri" w:hAnsi="Calibri"/>
          <w:b/>
          <w:color w:val="6E8450"/>
          <w:sz w:val="18"/>
        </w:rPr>
        <w:t>https://www.armourreit.com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ARMOUR's business model has remained unchanged since its 2009 founding — the company buys agency MBS funded by repo leverage and collects the spread. No meaningful product launches, pivots, or business model transformations in the last 5 years. The return to profitability in 2025 ($322.7M net income vs. prior-year losses) reflects interest rate normalization, not innovation [1]. AI Deployment (0/2): No AI deployment or strategy evident. The company is an externally managed mortgage REIT with minimal technology infrastructure. Market Share (1/2): ARMOUR is a meaningful player in the agency mREIT space with a ~$13B MBS portfolio, though it competes against larger peers like Annaly (NLY) and AGNC in a commodity-like market where differentiation is limited [1]. Pipeline (1/2): Management has signaled portfolio growth ambitions with 60% portfolio expansion recently, and the BUCKLER concentrated funding structure represents a strategic evolution in liability management [1]. R&amp;D Intensity (0/1): Not applicable — no R&amp;D function exists in a mortgage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ARMOUR's stated purpose is generic financial services language — supporting homeownership by investing in residential MBS. This is interchangeable with any agency mREIT and does not articulate a deeper purpose beyond financial returns. Community Impact (1/2): The company supports homeownership finance broadly and reports charitable contributions and employee volunteering in local organizations through its ESG disclosures, but at a modest scale without specific dollar amounts cited [3]. Employee Retention (0/2): No public data on employee count, tenure, or turnover. The company is externally managed by ARMOUR Capital Management, making traditional employee culture assessment difficult. Insider Buying (1/2): CEO Scott Ulm took over from retiring co-founder Jeffrey Zimmer in March 2024, maintaining leadership continuity. However, insider transaction data shows limited net buying activity relative to the company's size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ARR's financial profile reflects the extreme leverage inherent in mortgage REITs. D/E of 794% is structurally high but typical for the mREIT sector where leverage is the business model [4]. ROE of 17.8% exceeds the 15% target, demonstrating the portfolio is generating adequate levered returns after the return to profitability in 2025 [1]. Forward P/E of 5.5x and price-to-book of 0.86x reflect the market's skepticism about dividend sustainability. Profit margin of 85.5% is characteristic of the low-overhead mREIT model. The $2.88/year dividend ($0.24/month) yields 16.8%, but the 87.3% payout ratio raises sustainability concerns [4]. Dividends have been paid since 2010 (16 consecutive years) but have been cut multiple times — from over $1.00/month historically to $0.24/month today, representing zero dividend growth. Liquidity floor cleared: 3.58M avg vol x $17.34 = $62.1M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ARMOUR Residential REIT operates as a fundamentally finite game player — the business exists to generate spread income from leveraged MBS positions and distribute it as dividends. There is no Just Cause beyond financial returns, the business model has not evolved meaningfully, and the history of repeated dividend cuts reflects a reactive rather than visionary management approach.</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ARMOUR has no articulated Just Cause beyond generating income for shareholders through agency MBS investments. The company's stated support of homeownership is a byproduct of the investment strategy, not a driving purpose. Multiple dividend cuts from over $1.00/month to $0.24/month suggest the business optimizes for quarterly survival over long-term value creation [1]. Score: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an externally managed REIT, ARMOUR's 'team' is primarily the external manager ARMOUR Capital Management. This structure inherently creates agency conflicts — the manager benefits from portfolio growth (management fees) while shareholders bear the risk. No public data exists on employee count, culture, or retention. The external management model is widely criticized by governance experts as misaligning incentives [2].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ARMOUR competes against Annaly Capital (NLY) and AGNC Investment in a commodity-like market, but management's public commentary focuses on portfolio performance metrics rather than learning from competitors' strengths. The competitive landscape is framed in finite terms — yield, book value, dividend — rather than organizational improvement. Score: 0/1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ARMOUR has maintained essentially the same business model since its 2008 founding — leveraged agency MBS investing. The company has not demonstrated any meaningful strategic pivots or business model evolution in response to changing market conditions. When interest rates rose sharply in 2022-2023, the company absorbed losses rather than adapting the strategy. Score: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transition from co-founders to CEO Scott Ulm in March 2024 was handled smoothly, with Zimmer remaining as an advisor. The 60% portfolio growth and concentrated BUCKLER funding strategy represent bold capital allocation decisions in a volatile interest rate environment [1][2]. However, the externally managed structure creates inherent conflicts between manager and shareholder interests.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ARMOUR Residential REIT offers high current income with a 16.8% dividend yield paid monthly ($0.24/share), backed by a return to profitability with $322.7M net income and $3.31 EPS in FY2025 [1]. Trading at 0.86x book value ($20.20/share) and 5.5x forward earnings, the valuation embeds significant skepticism that the current dividend level is sustainable. The agency MBS portfolio carries no credit risk (GSE/GNMA guaranteed), and the 60% portfolio growth signals management confidence in the interest rate environment. Analysts project earnings of $3.14-$3.43 EPS for 2026, comfortably covering the $2.88/year dividend [1]. For income-focused investors willing to accept interest rate volatility, ARR offers an attractive entry point below book value.</w:t>
      </w:r>
    </w:p>
    <w:p>
      <w:pPr>
        <w:spacing w:after="120"/>
      </w:pPr>
      <w:r>
        <w:rPr>
          <w:rFonts w:ascii="Calibri" w:hAnsi="Calibri"/>
          <w:b w:val="0"/>
          <w:color w:val="3A4A28"/>
          <w:sz w:val="20"/>
        </w:rPr>
        <w:t>The bear case is structural and well-documented. ARMOUR's history of serial dividend destruction — from over $1.00/month to $0.24/month — reflects the fundamental fragility of the levered mREIT model where rising rates, widening MBS spreads, or funding disruptions can rapidly erode book value and force dividend cuts [1]. The 794% D/E ratio means small changes in asset values produce large swings in equity, and the 87.3% payout ratio leaves minimal margin for error. The externally managed structure creates inherent agency conflicts — management fees are based on portfolio size, incentivizing growth over risk management. GAAP revenue was negative for three consecutive years (2022-2024) before the 2025 recovery, demonstrating extreme earnings volatility. Concentrated repo funding through BUCKLER amplifies counterparty risk. The stock's persistent discount to book value suggests the market has structurally de-rated the external management model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Trading at 0.86x book value provides a margin of safety — convergence to 1.0x book would represent 16% upside plus the 16.8% dividend yield [4]</w:t>
      </w:r>
    </w:p>
    <w:p>
      <w:pPr>
        <w:spacing w:before="40" w:after="40"/>
        <w:ind w:left="283"/>
      </w:pPr>
      <w:r>
        <w:rPr>
          <w:rFonts w:ascii="Calibri" w:hAnsi="Calibri"/>
          <w:b/>
          <w:color w:val="4A6B25"/>
          <w:sz w:val="20"/>
        </w:rPr>
        <w:t xml:space="preserve">2. </w:t>
      </w:r>
      <w:r>
        <w:rPr>
          <w:rFonts w:ascii="Calibri" w:hAnsi="Calibri"/>
          <w:b w:val="0"/>
          <w:color w:val="3A4A28"/>
          <w:sz w:val="20"/>
        </w:rPr>
        <w:t>Potential Fed rate cuts in 2026 would steepen the yield curve, expanding ARMOUR's net interest margin and supporting both earnings and book value recovery [1]</w:t>
      </w:r>
    </w:p>
    <w:p>
      <w:pPr>
        <w:spacing w:before="40" w:after="40"/>
        <w:ind w:left="283"/>
      </w:pPr>
      <w:r>
        <w:rPr>
          <w:rFonts w:ascii="Calibri" w:hAnsi="Calibri"/>
          <w:b/>
          <w:color w:val="4A6B25"/>
          <w:sz w:val="20"/>
        </w:rPr>
        <w:t xml:space="preserve">3. </w:t>
      </w:r>
      <w:r>
        <w:rPr>
          <w:rFonts w:ascii="Calibri" w:hAnsi="Calibri"/>
          <w:b w:val="0"/>
          <w:color w:val="3A4A28"/>
          <w:sz w:val="20"/>
        </w:rPr>
        <w:t>60% portfolio growth positions ARMOUR for meaningful earnings expansion if MBS spreads remain stable or tighten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Serial dividend destruction history — dividends cut from &gt;$1.00/month to $0.24/month since IPO, with 87.3% payout ratio leaving minimal cushion for further rate volatility [4]</w:t>
      </w:r>
    </w:p>
    <w:p>
      <w:pPr>
        <w:spacing w:before="40" w:after="40"/>
        <w:ind w:left="283"/>
      </w:pPr>
      <w:r>
        <w:rPr>
          <w:rFonts w:ascii="Calibri" w:hAnsi="Calibri"/>
          <w:b/>
          <w:color w:val="4A6B25"/>
          <w:sz w:val="20"/>
        </w:rPr>
        <w:t xml:space="preserve">2. </w:t>
      </w:r>
      <w:r>
        <w:rPr>
          <w:rFonts w:ascii="Calibri" w:hAnsi="Calibri"/>
          <w:b w:val="0"/>
          <w:color w:val="3A4A28"/>
          <w:sz w:val="20"/>
        </w:rPr>
        <w:t>794% D/E leverage ratio means a 5% decline in MBS portfolio value would wipe out ~40% of equity, forcing potential capital raises at dilutive prices [4]</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creates agency conflicts — ARMOUR Capital Management earns fees on portfolio size regardless of shareholder returns, misaligning incentives between manager and investors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ARMOUR Residential REIT's core business — owning agency mortgage-backed securities guaranteed by GSEs and GNMA — is structurally immune to AI disruption. The company's revenue comes from the spread between MBS yields and funding costs, a purely financial operation that AI cannot substitute or displace. Mortgage origination may be disrupted by AI, but ARMOUR operates downstream as a portfolio investor, not an originator. The regulatory framework governing GSE guarantees, repo markets, and REIT structures provides additional protection from technological disruption. AI could marginally improve prepayment modeling and portfolio hedging but would not fundamentally alter the business model. AI Opportunity (0/1): ARMOUR generates no revenue from AI products or services and has no AI strategy or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ARMOUR Residential REIT Q4 and FY2025 Results — $322.7M net income, $3.31 EPS, return to profitability, February 2026</w:t>
      </w:r>
    </w:p>
    <w:p>
      <w:pPr>
        <w:spacing w:before="20" w:after="20"/>
        <w:ind w:left="170"/>
      </w:pPr>
      <w:r>
        <w:rPr>
          <w:rFonts w:ascii="Calibri" w:hAnsi="Calibri"/>
          <w:b/>
          <w:color w:val="4A6B25"/>
          <w:sz w:val="15"/>
        </w:rPr>
        <w:t xml:space="preserve">2. </w:t>
      </w:r>
      <w:r>
        <w:rPr>
          <w:rFonts w:ascii="Calibri" w:hAnsi="Calibri"/>
          <w:b w:val="0"/>
          <w:color w:val="3A4A28"/>
          <w:sz w:val="17"/>
        </w:rPr>
        <w:t>ARMOUR Residential REIT — CEO transition, Scott Ulm appointment, Jeffrey Zimmer retirement, March 2024</w:t>
      </w:r>
    </w:p>
    <w:p>
      <w:pPr>
        <w:spacing w:before="20" w:after="20"/>
        <w:ind w:left="170"/>
      </w:pPr>
      <w:r>
        <w:rPr>
          <w:rFonts w:ascii="Calibri" w:hAnsi="Calibri"/>
          <w:b/>
          <w:color w:val="4A6B25"/>
          <w:sz w:val="15"/>
        </w:rPr>
        <w:t xml:space="preserve">3. </w:t>
      </w:r>
      <w:r>
        <w:rPr>
          <w:rFonts w:ascii="Calibri" w:hAnsi="Calibri"/>
          <w:b w:val="0"/>
          <w:color w:val="3A4A28"/>
          <w:sz w:val="17"/>
        </w:rPr>
        <w:t>ARMOUR Residential REIT ESG Highlights and Corporate Responsibility disclosures, armourreit.com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ARR,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