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ARWR</w:t>
      </w:r>
      <w:r>
        <w:rPr>
          <w:rFonts w:ascii="Calibri" w:hAnsi="Calibri"/>
          <w:b/>
          <w:color w:val="1A2010"/>
          <w:sz w:val="40"/>
        </w:rPr>
        <w:t xml:space="preserve">  Arrowhead Pharmaceuticals, Inc.</w:t>
      </w:r>
    </w:p>
    <w:p>
      <w:pPr>
        <w:spacing w:after="120"/>
      </w:pPr>
      <w:r>
        <w:rPr>
          <w:rFonts w:ascii="Calibri" w:hAnsi="Calibri"/>
          <w:b/>
          <w:color w:val="6E8450"/>
          <w:sz w:val="18"/>
        </w:rPr>
        <w:t>GROWTH SLEEVE · 2026-04-10 · Inspire: 22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Arrowhead Pharmaceuticals develops RNA interference (RNAi) therapeutics targeting intractable diseases. Its proprietary TRiM platform enables the design of RNAi molecules that silence disease-causing genes. Lead product REDEMPLO (plozasiran) is FDA-approved for familial chylomicronemia syndrome. The pipeline includes zodasiran, ARO-DIMER-PA, obesity candidates (ARO-INHBE, ARO-ALK7), and CNS programs. Key partnerships include Novartis ($200M upfront, up to $2B milestones), Amgen, Takeda, and Sarepta.</w:t>
      </w:r>
    </w:p>
    <w:p>
      <w:r>
        <w:rPr>
          <w:rFonts w:ascii="Calibri" w:hAnsi="Calibri"/>
          <w:b/>
          <w:color w:val="6E8450"/>
          <w:sz w:val="18"/>
        </w:rPr>
        <w:t>711 Employees · https://arrowheadpharma.com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Arrowhead achieved a transformative milestone with the November 2025 FDA approval of REDEMPLO (plozasiran) for familial chylomicronemia syndrome, its first commercial product after two decades of RNAi platform development [1]. The company simultaneously secured approval in China (NMPA) and Canada, and earned Breakthrough Therapy designation for the severe hypertriglyceridemia indication. Revenue surged from $3.6M in FY2024 to $829M in FY2025, driven by the $200M Novartis upfront payment and $200M Sarepta milestone [1]. AI Deployment (0/2): No evidence of AI deployment in drug discovery or clinical operations; the company relies on its proprietary TRiM (Targeted RNAi Molecule) chemistry platform rather than AI-driven drug design [2]. Market Share (2/2): Arrowhead has established itself as a leader in the RNAi therapeutics space, which is projected to grow from $1.8B to $3.3B by 2033. With four late-stage candidates (plozasiran, zodasiran, fazirsiran, olpasiran) and multiple Phase 1/2 programs, Arrowhead has one of the deepest RNAi pipelines in the industry [2]. Pipeline (2/2): Extraordinary pipeline depth with specific timelines: SHASTA-3 and SHASTA-4 readouts expected Q3 FY2026, ARO-DIMER-PA Phase 1/2a initiated, ARO-MAPT Phase 1/2a dosed for CNS tauopathies, and obesity candidates ARO-INHBE and ARO-ALK7 showing interim efficacy data [1]. R&amp;D Intensity (1/1): R&amp;D spending of $177M in Q1 FY2026 alone (vs. $137M prior year) represents massive R&amp;D intensity relative to revenue, demonstrating commitment to advancing the pipeline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Arrowhead's mission to develop medicines that make a meaningful difference for patients with serious diseases reflects genuine intentionality. CEO Chris Anzalone's philosophy — 'There are no shortcuts in biopharma... follow the science wherever it leads and make that part of your company's DNA' — articulates a clear, science-first purpose that has guided the company through 20+ years of pre-commercial development [2]. Community Impact (1/2): REDEMPLO directly serves FCS patients who previously had no approved RNAi therapy, addressing a rare disease with significant unmet medical need. The company's broader pipeline targets cardiovascular disease, obesity, and CNS disorders affecting millions of patients [1]. Employee Retention (2/2): Founder-CEO Chris Anzalone has led Arrowhead since 2007 — a 19-year tenure through the company's pre-revenue years, multiple pivots, and now FDA approval. The company's emphasis on empowering 'extraordinary people to make decisions' and valuing speed over committee-driven processes reflects a culture that retains innovative scientists [2]. The 711-person team is highly specialized, and the company's values explicitly prioritize truth-seeking and rapid innovation. Insider Buying (1/2): Anzalone holds significant founder equity. The company raised $930M in concurrent offerings in late 2025, and Simply Wall St flagged insider selling signals alongside Q1 results, suggesting mixed insider conviction signals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Arrowhead's infrastructure metrics are strong on trailing measures but require context. D/E of 124.1% reflects $366M in debt against $466M equity, offset by $916.6M in total cash resources ($201.6M cash + $715M available-for-sale securities) as of December 2025 — effectively net cash positive [1]. Trailing ROE of 75.5% reflects one exceptional year of profitability on a thin equity base [5]. Revenue growth is extraordinary on a trailing basis (10,461% YoY) but misleading — FY2024's $3.6M revenue was an anomalous trough between partnership deals, not a real base [1]. Profit margin of 18.5% on TTM revenue reflects the mix of high-margin milestone payments and heavy R&amp;D spending [5]. The critical caveat is that forward EPS is -$4.30, meaning analysts expect Arrowhead to return to significant losses as one-time milestone revenues normalize and R&amp;D spending scales for late-stage trials [5]. The $916.6M cash position provides approximately 4-5 years of runway at current burn rates. Liquidity is ample at $185M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Arrowhead Pharmaceuticals exemplifies infinite game thinking in several key dimensions. Founder-CEO Chris Anzalone has led the company for 19 years through pre-revenue struggles, platform pivots, and now the transformative FDA approval of REDEMPLO. His philosophy that 'there are no shortcuts in biopharma' and commitment to following the science reflect Sinek's archetype of a cause-driven leader. The company has invested over $2 billion in R&amp;D over its history before seeing its first commercial product, demonstrating extraordinary patience. However, the company remains unproven as a sustainable commercial enterprise.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Arrowhead has a genuine Just Cause — using RNA interference to silence disease-causing genes and develop medicines for intractable diseases (2/3 pts). This purpose has survived 20+ years of pre-revenue development, multiple platform pivots, and significant scientific setbacks under CEO Anzalone's leadership [2]. The values of truth-seeking, following the science, and empowering individuals reflect a cause that goes beyond revenue generation. However, the cause has not yet been tested through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Positive trust signals (1/2 pts). The company's explicitly stated values — 'creativity and speed die by committee' and 'extraordinary people who are empowered to make decisions will do extraordinary things' — describe a high-trust, high-empowerment culture [2]. The 711-person team is small enough for direct leadership access, and Anzalone's 19-year tenure suggests stability. The ability to attract and retain top RNAi scientists through years of pre-commercial development indicates mission-driven retention.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Arrowhead demonstrates an infinite competitive mindset (1/1 pt). The company acknowledges Alnylam Pharmaceuticals as the RNAi pioneer and leader, and has used Alnylam's success as motivation to differentiate through its TRiM platform's superior targeting capabilities [2]. Rather than competing head-on, Arrowhead has focused on different therapeutic areas and delivery mechanisms,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pts). Arrowhead fundamentally reinvented itself under Anzalone, pivoting from 'Arrowhead Research Company' (a general nanotechnology firm) to a focused RNAi therapeutics company. The company also abandoned its initial hepatitis B program to reallocate resources toward cardiometabolic targets where the platform showed greater promise [2]. These were meaningful pivots driven by following the science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 of courage (2/2 pts). Chris Anzalone invested 19 years building Arrowhead through multiple cycles of clinical failure, capital market skepticism, and zero commercial revenue. The decision to invest hundreds of millions in R&amp;D over nearly two decades before seeing a product approval represents extraordinary courage and long-term conviction [1][2]. The company walked away from its hepatitis B program — its most advanced asset at the time — because the science didn't support continuing, choosing scientific integrity over sunk-cost bias. More recently, investing $177M in Q1 FY2026 R&amp;D alone (vs $264M revenue) shows continued prioritization of long-term pipeline over short-term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Arrowhead Pharmaceuticals stands at a pivotal inflection point with its first FDA-approved commercial product REDEMPLO (plozasiran) launching for familial chylomicronemia syndrome, plus approvals in China and Canada, and Breakthrough Therapy designation for severe hypertriglyceridemia — a much larger addressable market [1]. Q1 FY2026 delivered $264M revenue and $30.8M net income ($0.22 EPS), demonstrating the revenue potential as milestone payments flow and REDEMPLO prescriptions exceed 100 in the early launch [1]. The pipeline is one of biotech's deepest with four late-stage RNAi candidates (plozasiran, zodasiran, fazirsiran, olpasiran) and multiple Phase 1/2 programs in obesity (ARO-INHBE, ARO-ALK7), CNS (ARO-MAPT), and complement disorders [1]. The $916.6M cash position provides multi-year runway, and partnerships with Novartis ($200M upfront, up to $2B milestones), Amgen, Sarepta, and Takeda validate the platform [1]. The RNAi market is projected to nearly double from $1.8B to $3.3B by 2033, and Arrowhead's TRiM platform positions it as a leading beneficiary [2].</w:t>
      </w:r>
    </w:p>
    <w:p>
      <w:pPr>
        <w:spacing w:after="120"/>
      </w:pPr>
      <w:r>
        <w:rPr>
          <w:rFonts w:ascii="Calibri" w:hAnsi="Calibri"/>
          <w:b w:val="0"/>
          <w:color w:val="3A4A28"/>
          <w:sz w:val="20"/>
        </w:rPr>
        <w:t>The bear case is dominated by clinical and commercial execution risk. Forward EPS of -$4.30 means analysts expect Arrowhead to return to significant losses as one-time milestone revenues ($200M from Novartis, $200M from Sarepta) normalize and R&amp;D spending scales for multiple late-stage trials ($177M in Q1 alone) [1][5]. REDEMPLO's commercial opportunity in FCS is limited — it is a rare disease indication, and the broader severe hypertriglyceridemia indication depends on SHASTA-3/SHASTA-4 readouts expected Q3 FY2026 [1]. Clinical failure in any of the late-stage programs would significantly impair the investment thesis. Simply Wall St flagged insider selling alongside strong Q1 results, potentially signaling insider skepticism about sustainability [3]. Competition from Alnylam (the RNAi leader), large pharma partners developing competing programs, and emerging AI-driven drug discovery platforms all pose competitive threats. D/E of 124% and the expected return to cash burn create ongoing dilution risk, as evidenced by the $930M in concurrent offerings completed in late 2025 [1]. Finally, the biotech sector faces regulatory and reimbursement headwinds that could delay or limit commercial uptake of approved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SHASTA-3 and SHASTA-4 readouts expected Q3 FY2026 for plozasiran in severe hypertriglyceridemia — positive data would unlock a much larger commercial market beyond the rare FCS indication [1]</w:t>
      </w:r>
    </w:p>
    <w:p>
      <w:pPr>
        <w:spacing w:before="40" w:after="40"/>
        <w:ind w:left="283"/>
      </w:pPr>
      <w:r>
        <w:rPr>
          <w:rFonts w:ascii="Calibri" w:hAnsi="Calibri"/>
          <w:b/>
          <w:color w:val="4A6B25"/>
          <w:sz w:val="20"/>
        </w:rPr>
        <w:t xml:space="preserve">2. </w:t>
      </w:r>
      <w:r>
        <w:rPr>
          <w:rFonts w:ascii="Calibri" w:hAnsi="Calibri"/>
          <w:b w:val="0"/>
          <w:color w:val="3A4A28"/>
          <w:sz w:val="20"/>
        </w:rPr>
        <w:t>REDEMPLO commercial launch ramp with over 100 prescriptions in the initial period, plus potential approvals in additional geographies and the broader sHTG indication [1]</w:t>
      </w:r>
    </w:p>
    <w:p>
      <w:pPr>
        <w:spacing w:before="40" w:after="40"/>
        <w:ind w:left="283"/>
      </w:pPr>
      <w:r>
        <w:rPr>
          <w:rFonts w:ascii="Calibri" w:hAnsi="Calibri"/>
          <w:b/>
          <w:color w:val="4A6B25"/>
          <w:sz w:val="20"/>
        </w:rPr>
        <w:t xml:space="preserve">3. </w:t>
      </w:r>
      <w:r>
        <w:rPr>
          <w:rFonts w:ascii="Calibri" w:hAnsi="Calibri"/>
          <w:b w:val="0"/>
          <w:color w:val="3A4A28"/>
          <w:sz w:val="20"/>
        </w:rPr>
        <w:t>Pipeline data catalysts across ARO-DIMER-PA (dual PCSK9/APOC3), obesity programs (ARO-INHBE, ARO-ALK7), and CNS tauopathy (ARO-MAPT), each of which could attract partnership economics similar to the $200M+ Novartis deal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failure risk in SHASTA-3/SHASTA-4 (plozasiran sHTG) or other late-stage programs would fundamentally undermine the pipeline thesis and stock valuation [1]</w:t>
      </w:r>
    </w:p>
    <w:p>
      <w:pPr>
        <w:spacing w:before="40" w:after="40"/>
        <w:ind w:left="283"/>
      </w:pPr>
      <w:r>
        <w:rPr>
          <w:rFonts w:ascii="Calibri" w:hAnsi="Calibri"/>
          <w:b/>
          <w:color w:val="4A6B25"/>
          <w:sz w:val="20"/>
        </w:rPr>
        <w:t xml:space="preserve">2. </w:t>
      </w:r>
      <w:r>
        <w:rPr>
          <w:rFonts w:ascii="Calibri" w:hAnsi="Calibri"/>
          <w:b w:val="0"/>
          <w:color w:val="3A4A28"/>
          <w:sz w:val="20"/>
        </w:rPr>
        <w:t>Return to significant cash burn — forward EPS of -$4.30 and $177M quarterly R&amp;D spending means the $916.6M cash position is being consumed, with potential dilution from future equity raises [1][5]</w:t>
      </w:r>
    </w:p>
    <w:p>
      <w:pPr>
        <w:spacing w:before="40" w:after="40"/>
        <w:ind w:left="283"/>
      </w:pPr>
      <w:r>
        <w:rPr>
          <w:rFonts w:ascii="Calibri" w:hAnsi="Calibri"/>
          <w:b/>
          <w:color w:val="4A6B25"/>
          <w:sz w:val="20"/>
        </w:rPr>
        <w:t xml:space="preserve">3. </w:t>
      </w:r>
      <w:r>
        <w:rPr>
          <w:rFonts w:ascii="Calibri" w:hAnsi="Calibri"/>
          <w:b w:val="0"/>
          <w:color w:val="3A4A28"/>
          <w:sz w:val="20"/>
        </w:rPr>
        <w:t>Commercial execution risk for REDEMPLO in the rare FCS indication, where the patient population is small and specialty pharmacy distribution, payer coverage, and physician adoption must all align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Arrowhead's core business — developing and manufacturing RNAi therapeutics — involves complex biological science, clinical trials, and FDA regulatory processes that AI cannot replicate or displace [2]. Drug development requires decades of chemistry expertise, animal studies, and human clinical trials that are structurally resistant to AI substitution. However, AI is increasingly used in drug discovery (target identification, molecular design) by competitors, which could erode Arrowhead's proprietary TRiM platform advantage if AI-driven drug design enables faster, cheaper RNAi molecule development by larger pharma companies. The RNAi space specifically requires deep chemistry knowledge about molecular targeting, delivery, and stability that AI tools are beginning to augment. AI Opportunity (1/1): While Arrowhead does not currently deploy AI meaningfully, the company's extensive proprietary data from 20+ years of RNAi development represents a valuable dataset that could be leveraged for AI-enhanced drug design and clinical trial optimization [2]. The broader pharma industry is investing heavily in AI drug discovery, creating partnership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Arrowhead Pharmaceuticals Q1 FY2026 Earnings Release — $264M revenue, $30.8M net income, REDEMPLO commercial launch, pipeline milestones, February 2026</w:t>
      </w:r>
    </w:p>
    <w:p>
      <w:pPr>
        <w:spacing w:before="20" w:after="20"/>
        <w:ind w:left="170"/>
      </w:pPr>
      <w:r>
        <w:rPr>
          <w:rFonts w:ascii="Calibri" w:hAnsi="Calibri"/>
          <w:b/>
          <w:color w:val="4A6B25"/>
          <w:sz w:val="15"/>
        </w:rPr>
        <w:t xml:space="preserve">2. </w:t>
      </w:r>
      <w:r>
        <w:rPr>
          <w:rFonts w:ascii="Calibri" w:hAnsi="Calibri"/>
          <w:b w:val="0"/>
          <w:color w:val="3A4A28"/>
          <w:sz w:val="17"/>
        </w:rPr>
        <w:t>Arrowhead Pharmaceuticals Corporate — CEO Chris Anzalone leadership, RNAi platform, TRiM technology, company values,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ARWR insider selling analysis alongside Q1 results and plozasiran prospects, February 2026</w:t>
      </w:r>
    </w:p>
    <w:p>
      <w:pPr>
        <w:spacing w:before="20" w:after="20"/>
        <w:ind w:left="170"/>
      </w:pPr>
      <w:r>
        <w:rPr>
          <w:rFonts w:ascii="Calibri" w:hAnsi="Calibri"/>
          <w:b/>
          <w:color w:val="4A6B25"/>
          <w:sz w:val="15"/>
        </w:rPr>
        <w:t xml:space="preserve">4. </w:t>
      </w:r>
      <w:r>
        <w:rPr>
          <w:rFonts w:ascii="Calibri" w:hAnsi="Calibri"/>
          <w:b w:val="0"/>
          <w:color w:val="3A4A28"/>
          <w:sz w:val="17"/>
        </w:rPr>
        <w:t>Glass Lewis — Arrowhead Pharmaceuticals ESG Controversy Alert, November 2022</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ARWR,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