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AR</w:t>
      </w:r>
      <w:r>
        <w:rPr>
          <w:rFonts w:ascii="Calibri" w:hAnsi="Calibri"/>
          <w:b/>
          <w:color w:val="1A2010"/>
          <w:sz w:val="40"/>
        </w:rPr>
        <w:t xml:space="preserve">  Antero Resources Corporation</w:t>
      </w:r>
    </w:p>
    <w:p>
      <w:pPr>
        <w:spacing w:after="120"/>
      </w:pPr>
      <w:r>
        <w:rPr>
          <w:rFonts w:ascii="Calibri" w:hAnsi="Calibri"/>
          <w:b/>
          <w:color w:val="6E8450"/>
          <w:sz w:val="18"/>
        </w:rPr>
        <w:t>GROWTH SLEEVE · 2026-03-30 · Inspire: 41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E&amp;P · NYSE · United States</w:t>
      </w:r>
    </w:p>
    <w:p>
      <w:pPr>
        <w:spacing w:after="80"/>
      </w:pPr>
      <w:r>
        <w:rPr>
          <w:rFonts w:ascii="Calibri" w:hAnsi="Calibri"/>
          <w:b w:val="0"/>
          <w:color w:val="3A4A28"/>
          <w:sz w:val="20"/>
        </w:rPr>
        <w:t>Antero Resources Corporation is an independent natural gas and NGL company operating in the Appalachian Basin, one of the largest U.S. suppliers of natural gas and LPG to the global export market. The company operates through Exploration &amp; Production, Marketing, and Equity Method Investment in Antero Midstream segments.</w:t>
      </w:r>
    </w:p>
    <w:p>
      <w:r>
        <w:rPr>
          <w:rFonts w:ascii="Calibri" w:hAnsi="Calibri"/>
          <w:b/>
          <w:color w:val="6E8450"/>
          <w:sz w:val="18"/>
        </w:rPr>
        <w:t>750 Employees · https://www.anteroresources.com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Antero completed the strategic HG Energy Marcellus acquisition while divesting Utica assets, repositioning toward lower-cost dry gas production and reducing the cash cost structure by ~$0.25/Mcfe [1]. Production grew from 3.4 Bcfe/d to a guided 4.1 Bcfe/d, but this is incremental volume growth, not a transformative pivot [1]. AI Deployment (0/2): No evidence of AI-powered products or quantified AI-driven operational savings. Antero operates a conventional E&amp;P business with no disclosed AI strategy or deployment [3]. Market Share (2/2): Antero is one of the largest U.S. natural gas and LPG exporters with 19.1 Tcfe of proved reserves, a $0.42/Mcfe premium to NYMEX prices reflecting its liquids-rich positioning and export-grade product quality [1]. Pipeline (1/2): 2026 production guidance of 4.1 Bcfe/d with optionality to grow to 4.5 Bcfe/d in 2027 provides near-term visibility, but the pipeline is volume-based rather than product innovation [1]. R&amp;D Intensity (1/1): E&amp;P companies invest in drilling technology and completion optimization rather than traditional R&amp;D; Antero's $1B D&amp;C capital budget and operational efficiency improvements are above-average for the sector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Antero positions itself as enabling the transition to lower-carbon energy through natural gas production, which is a clear but industry-standard framing rather than a distinctive Just Cause [2]. Community Impact (1/2): Antero operates in Appalachian communities and has ESG programs with executive compensation tied to ESG metrics, but environmental violations ($3.15M Clean Water Act settlement, $11.1M air pollution settlement) undercut community claims [4]. Employee Retention (1/2): Glassdoor rating of 3.3/5 across 54 reviews with 48% recommending the company suggests average-to-below-average retention; employees cite benefits and stability but note nepotism and limited growth opportunities [3]. Insider Buying (1/2): CEO Paul Rady directly owns 4.64% of shares worth $463.5M, representing exceptional skin in the game after 23 years of tenure, though this is accumulated ownership rather than recent net buying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Antero's financial profile is mixed — strong forward valuation but commodity-driven revenue volatility weighs on multi-year metrics. D/E of 45.7% is well-controlled after significant debt reduction from over $3B to $1.4B [1]. ROE of 9.0% is below the 15% target, reflecting the commodity cycle trough recovery [5]. Revenue growth of 11.1% YoY is solid but the 3-year revenue CAGR is deeply negative (-15.5%) due to 2022's $8.3B commodity spike collapsing to normalized levels [5]. Forward P/E of 10.1x is attractive, reflecting natural gas discount and cyclical uncertainty [5]. Profit margin of 12.3% is moderate for E&amp;P, impacted by above-average transportation costs [1]. Free cash flow of $750M+ in 2025 with potential for $1.69B in 2026 at higher gas prices shows improving cash conversion [1]. Liquidity cleared: 6.2M avg volume × $44.29 = $274M daily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Antero plays a mixed game — CEO Paul Rady's 23-year tenure and long-term resource development approach reflect patience, but the company's existence is fundamentally tied to commodity cycles and fossil fuel demand that face existential transition risk. The HG Energy acquisition and production growth strategy prioritize near-term volume capture over transformative adaptation.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Antero frames its purpose around enabling lower-carbon energy transition through natural gas, which connects to a broader societal need but is ultimately a commodity extraction business [2]. The cause is real — natural gas displaces coal and powers the AI economy — but it lacks the idealistic, never-fully-achievable quality Sinek demands. The company's strategic decisions are driven by commodity prices and returns, not a vision of a better future.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rating of 3.3/5 with 48% recommendation rate signals below-average employee sentiment [3]. Reviews cite nepotism, limited growth opportunities, and inconsistent management goals. However, the small workforce (~750 employees) and long executive tenure (average 5.5 years) suggest a stable core team. The executive team receives an A+ rating on Comparably with 100% approval, indicating trust at the leadership level if not throughout the organization [3].</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Antero competes with EQT, Southwestern Energy, and Range Resources in Appalachian natural gas. The company's strategic response — differentiating through liquids-rich acreage, export-grade product quality, and a $0.42/Mcfe NYMEX premium — suggests competing on capability rather than pure volume warfare [1]. The HG Energy acquisition to reduce cost structure reflects learning from lower-cost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HG Energy Marcellus acquisition and Utica divestiture represent meaningful portfolio reshaping — shifting from diversified basin exposure to concentrated, lower-cost Marcellus production [1]. However, this is optimization within the same business model, not transformative reinvention. Antero has not demonstrated willingness to pivot beyond hydrocarbon extraction despite long-term energy transition pressures.</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Antero showed discipline by curtailing production during the 2023-2024 natural gas price downturn rather than chasing volume, preserving reserves for higher-price environments [1]. The company slashed long-term debt from $3B+ to $1.4B, prioritizing balance sheet strength over growth during weak pricing. The 2026 decision to ramp production to 4.1+ Bcfe/d only after LNG and data center demand visibility improved shows patience over opportunism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Antero Resources is a leading Appalachian natural gas producer positioned at the intersection of two secular demand trends — LNG export growth and AI data center power consumption — with CEO Paul Rady projecting 25%+ U.S. natural gas demand growth by 2030 [1][3]. Q4 2025 results showed $0.62 EPS (beating estimates by $0.13) on $1.41B revenue with production averaging 3.5 Bcfe/d and a $0.42/Mcfe NYMEX premium reflecting liquids-rich product quality [1]. The 2026 budget targets transformational production growth to 4.1 Bcfe/d on $1B D&amp;C capital, with the HG Energy acquisition reducing costs by $0.25/Mcfe and improving margins by $0.15-0.20/Mcfe [1]. At 10.1x forward P/E with potential FCF of $1.69B in 2026, the stock offers compelling value if natural gas prices sustain above $3.50/MMBtu. Debt reduction to $1.4B (from $3B+) with leverage under 1.0x provides balance sheet safety [1].</w:t>
      </w:r>
    </w:p>
    <w:p>
      <w:pPr>
        <w:spacing w:after="120"/>
      </w:pPr>
      <w:r>
        <w:rPr>
          <w:rFonts w:ascii="Calibri" w:hAnsi="Calibri"/>
          <w:b w:val="0"/>
          <w:color w:val="3A4A28"/>
          <w:sz w:val="20"/>
        </w:rPr>
        <w:t>The bear case centers on commodity price volatility, environmental liabilities, and the inherent cyclicality of E&amp;P businesses. The 3-year revenue trajectory from $8.3B (2022) to $5.0B (2025) illustrates how commodity swings can devastate earnings regardless of operational execution [5]. Natural gas prices below $3/MMBtu would compress margins materially given Antero's above-average $2.56/Mcfe all-in cash expense structure [1]. Environmental liabilities are a persistent overhang — the $3.15M Clean Water Act settlement, $11.1M air pollution settlement, and idled $275M wastewater treatment facility represent ongoing regulatory and legal risk in Appalachian fracking operations [4]. The stock's 45% of revenue tied to NYMEX gas prices creates binary exposure to weather, storage levels, and LNG demand timing. Long-term energy transition risk means the core business model faces existential questions beyond 2035-2040.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Production ramp to 4.1 Bcfe/d in 2026 (up 20%+ from 3.4 Bcfe/d in 2025) with optionality to 4.5 Bcfe/d in 2027, capturing rising LNG export and data center power demand [1]</w:t>
      </w:r>
    </w:p>
    <w:p>
      <w:pPr>
        <w:spacing w:before="40" w:after="40"/>
        <w:ind w:left="283"/>
      </w:pPr>
      <w:r>
        <w:rPr>
          <w:rFonts w:ascii="Calibri" w:hAnsi="Calibri"/>
          <w:b/>
          <w:color w:val="4A6B25"/>
          <w:sz w:val="20"/>
        </w:rPr>
        <w:t xml:space="preserve">2. </w:t>
      </w:r>
      <w:r>
        <w:rPr>
          <w:rFonts w:ascii="Calibri" w:hAnsi="Calibri"/>
          <w:b w:val="0"/>
          <w:color w:val="3A4A28"/>
          <w:sz w:val="20"/>
        </w:rPr>
        <w:t>HG Energy acquisition integration reducing cost structure by $0.25/Mcfe and improving margins $0.15-0.20/Mcfe, driving leverage below 1.0x during 2026 [1]</w:t>
      </w:r>
    </w:p>
    <w:p>
      <w:pPr>
        <w:spacing w:before="40" w:after="40"/>
        <w:ind w:left="283"/>
      </w:pPr>
      <w:r>
        <w:rPr>
          <w:rFonts w:ascii="Calibri" w:hAnsi="Calibri"/>
          <w:b/>
          <w:color w:val="4A6B25"/>
          <w:sz w:val="20"/>
        </w:rPr>
        <w:t xml:space="preserve">3. </w:t>
      </w:r>
      <w:r>
        <w:rPr>
          <w:rFonts w:ascii="Calibri" w:hAnsi="Calibri"/>
          <w:b w:val="0"/>
          <w:color w:val="3A4A28"/>
          <w:sz w:val="20"/>
        </w:rPr>
        <w:t>AI data center power demand growth driving structural increase in U.S. natural gas consumption, with management guiding 25%+ demand growth by 2030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Natural gas price volatility — NYMEX prices below $3/MMBtu would materially compress margins given $2.56/Mcfe all-in cash costs and limited hedging beyond 2027 [1]</w:t>
      </w:r>
    </w:p>
    <w:p>
      <w:pPr>
        <w:spacing w:before="40" w:after="40"/>
        <w:ind w:left="283"/>
      </w:pPr>
      <w:r>
        <w:rPr>
          <w:rFonts w:ascii="Calibri" w:hAnsi="Calibri"/>
          <w:b/>
          <w:color w:val="4A6B25"/>
          <w:sz w:val="20"/>
        </w:rPr>
        <w:t xml:space="preserve">2. </w:t>
      </w:r>
      <w:r>
        <w:rPr>
          <w:rFonts w:ascii="Calibri" w:hAnsi="Calibri"/>
          <w:b w:val="0"/>
          <w:color w:val="3A4A28"/>
          <w:sz w:val="20"/>
        </w:rPr>
        <w:t>Environmental and regulatory liability — history of Clean Water Act violations, air pollution settlements, and fracking wastewater issues create ongoing legal and reputational risk [4]</w:t>
      </w:r>
    </w:p>
    <w:p>
      <w:pPr>
        <w:spacing w:before="40" w:after="40"/>
        <w:ind w:left="283"/>
      </w:pPr>
      <w:r>
        <w:rPr>
          <w:rFonts w:ascii="Calibri" w:hAnsi="Calibri"/>
          <w:b/>
          <w:color w:val="4A6B25"/>
          <w:sz w:val="20"/>
        </w:rPr>
        <w:t xml:space="preserve">3. </w:t>
      </w:r>
      <w:r>
        <w:rPr>
          <w:rFonts w:ascii="Calibri" w:hAnsi="Calibri"/>
          <w:b w:val="0"/>
          <w:color w:val="3A4A28"/>
          <w:sz w:val="20"/>
        </w:rPr>
        <w:t>Commodity cycle exposure — revenue swung from $8.3B (2022) to $4.1B (2024) to $5.0B (2025), demonstrating extreme earnings volatility that no operational efficiency can fully mitigate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Antero's core business — drilling, completing, and producing natural gas from Appalachian shale formations — is entirely physical-world infrastructure that AI cannot displace [3]. The company extracts hydrocarbons from underground rock formations, operates gathering systems, and ships physical molecules to export terminals. No AI system can substitute for physical natural gas production. Moreover, AI is a direct demand driver — CEO Paul Rady highlighted that natural gas demand is expected to grow 25%+ by 2030 driven by AI data center power consumption and LNG export growth [3]. AI Opportunity (1/1): While Antero doesn't sell AI products, it generates meaningful revenue from selling natural gas to power generation facilities that serve AI data centers, making it a direct beneficiary of AI infrastructure buildout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Antero Resources Q4 2025 Earnings Release and 2026 Guidance — $0.62 EPS, $1.41B revenue, 3.5 Bcfe/d production, February 11, 2026</w:t>
      </w:r>
    </w:p>
    <w:p>
      <w:pPr>
        <w:spacing w:before="20" w:after="20"/>
        <w:ind w:left="170"/>
      </w:pPr>
      <w:r>
        <w:rPr>
          <w:rFonts w:ascii="Calibri" w:hAnsi="Calibri"/>
          <w:b/>
          <w:color w:val="4A6B25"/>
          <w:sz w:val="15"/>
        </w:rPr>
        <w:t xml:space="preserve">2. </w:t>
      </w:r>
      <w:r>
        <w:rPr>
          <w:rFonts w:ascii="Calibri" w:hAnsi="Calibri"/>
          <w:b w:val="0"/>
          <w:color w:val="3A4A28"/>
          <w:sz w:val="17"/>
        </w:rPr>
        <w:t>Antero Resources Corporate Website — ESG commitments, mission statement, sustainability reporting, accessed March 2026</w:t>
      </w:r>
    </w:p>
    <w:p>
      <w:pPr>
        <w:spacing w:before="20" w:after="20"/>
        <w:ind w:left="170"/>
      </w:pPr>
      <w:r>
        <w:rPr>
          <w:rFonts w:ascii="Calibri" w:hAnsi="Calibri"/>
          <w:b/>
          <w:color w:val="4A6B25"/>
          <w:sz w:val="15"/>
        </w:rPr>
        <w:t xml:space="preserve">3. </w:t>
      </w:r>
      <w:r>
        <w:rPr>
          <w:rFonts w:ascii="Calibri" w:hAnsi="Calibri"/>
          <w:b w:val="0"/>
          <w:color w:val="3A4A28"/>
          <w:sz w:val="17"/>
        </w:rPr>
        <w:t>Nasdaq, Simply Wall St — AI data center natural gas demand, CEO Paul Rady commentary, leadership analysis, accessed March 2026</w:t>
      </w:r>
    </w:p>
    <w:p>
      <w:pPr>
        <w:spacing w:before="20" w:after="20"/>
        <w:ind w:left="170"/>
      </w:pPr>
      <w:r>
        <w:rPr>
          <w:rFonts w:ascii="Calibri" w:hAnsi="Calibri"/>
          <w:b/>
          <w:color w:val="4A6B25"/>
          <w:sz w:val="15"/>
        </w:rPr>
        <w:t xml:space="preserve">4. </w:t>
      </w:r>
      <w:r>
        <w:rPr>
          <w:rFonts w:ascii="Calibri" w:hAnsi="Calibri"/>
          <w:b w:val="0"/>
          <w:color w:val="3A4A28"/>
          <w:sz w:val="17"/>
        </w:rPr>
        <w:t>Global Energy Monitor, WV Gazette-Mail — Environmental violations, Clean Water Act settlement, air pollution settlement, fracking controversies</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AR (Antero Resources), retrieved March 30,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