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ASBP</w:t>
      </w:r>
      <w:r>
        <w:rPr>
          <w:rFonts w:ascii="Calibri" w:hAnsi="Calibri"/>
          <w:b/>
          <w:color w:val="1A2010"/>
          <w:sz w:val="40"/>
        </w:rPr>
        <w:t xml:space="preserve">  Aspire Biopharma Holdings, Inc.</w:t>
      </w:r>
    </w:p>
    <w:p>
      <w:pPr>
        <w:spacing w:after="120"/>
      </w:pPr>
      <w:r>
        <w:rPr>
          <w:rFonts w:ascii="Calibri" w:hAnsi="Calibri"/>
          <w:b/>
          <w:color w:val="6E8450"/>
          <w:sz w:val="18"/>
        </w:rPr>
        <w:t>GROWTH SLEEVE · 2026-05-06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Aspire Biopharma Holdings, Inc. is an early-stage biopharmaceutical company developing proprietary sublingual drug delivery technology designed to rapidly deliver therapeutics by bypassing the gastrointestinal tract. The company's pipeline includes sublingual aspirin for cardiology emergencies, melatonin, vitamins, testosterone, semaglutide, and caffeine formulations. Founded in 2021 and headquartered in Estero, Florida.</w:t>
      </w:r>
    </w:p>
    <w:p>
      <w:r>
        <w:rPr>
          <w:rFonts w:ascii="Calibri" w:hAnsi="Calibri"/>
          <w:b/>
          <w:color w:val="6E8450"/>
          <w:sz w:val="18"/>
        </w:rPr>
        <w:t>https://www.aspirebiopharma.com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Aspire Biopharma's patent-pending sublingual delivery technology addresses a real need in drug administration by enabling rapid bloodstream absorption while bypassing the GI tract, but the company has generated only $6,202 in total revenue and has no approved products on the market [1]. The pipeline includes sublingual formulations for aspirin, melatonin, semaglutide, and caffeine, but none have advanced through clinical trials to commercialization [1][3]. The technology platform is niche and unproven at scale, with the company also pursuing an unrelated acquisition of Dura Control Systems, raising questions about strategic focus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underwent a CEO transition in July 2025, with founder Michael C. Howe resigning and Board Chairman Kraig Higginson stepping in as interim CEO, signaling leadership instability at a critical early stage [3]. No Glassdoor reviews or employee culture data exist for this micro-cap company, and the employee count is unreported, suggesting a skeleton team [3]. The recently appointed board member Phillip Balatsos adds pharmaceutical experience, but the interim leadership structure and $1M market cap reflect minimal organizational depth and uncertain mission commitment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Aspire Biopharma is essentially pre-revenue with only $6,202 in trailing twelve-month sales against a net loss of $24.5M, resulting in a trailing EPS of -$16.38 [2]. The $1M market cap, $0.20 stock price, and absence of forward P/E, ROE, or debt-to-equity data reflect a speculative-stage company with no meaningful financial infrastructure [2]. While the company completed a $21M private placement and announced a $5M share repurchase plan, these capital-raising activities have not translated into operational traction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Aspire Biopharma operates with a distinctly finite mindset characterized by leadership instability, speculative capital raising, and an unfocused strategy that spans sublingual drug delivery and industrial control system acquisitions. The company's 2021 founding, interim CEO, and $1M market cap reflect a venture-stage entity playing to survive rather than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sublingual drug delivery mission — enabling faster, more effective drug absorption while reducing GI side effects — has genuine health impact potential, particularly for cardiology emergencies requiring rapid aspirin delivery. However, the cause is undermined by the company's pursuit of an unrelated acquisition (Dura Control Systems) and lack of clinical validation after five years of operation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employee reviews, Glassdoor data, or workforce information exists for Aspire Biopharma, and the interim CEO structure following the founder's resignation suggests organizational instability rather than trust [3]. The company does not disclose employee count, and the $24.5M annual loss with negligible revenue raises questions about the team's ability to execute on the stated mission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Aspire Biopharma has not publicly acknowledged or benchmarked against competitors in the sublingual drug delivery space, such as IntelGenx Technologies or Aquestive Therapeutics. The company's marketing focuses on 'disrupting a $100 billion market' — a finite, win-the-game framing rather than learning-oriented rival acknowledgment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proposed acquisition of Dura Control Systems — an industrial control company unrelated to biopharma — could be interpreted as existential flexibility but more likely reflects strategic confusion in a company that has not yet validated its core drug delivery technology [1]. No evidence of purposeful business model evolution exists beyond this incongruent diversification attempt.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Interim CEO Kraig Higginson inherited leadership during a difficult transition, but the company has not demonstrated courage to lead through meaningful product development milestones or bold strategic decisions. The $5M share repurchase plan at a $1M market cap and $21M private placement appear to prioritize capital structure engineering over product advancement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Aspire Biopharma's sublingual drug delivery technology has theoretical merit — bypassing the GI tract for rapid bloodstream absorption could improve outcomes in cardiology emergencies and other acute indications. The $21M private placement provides near-term capital, and the $22.5M commitment letter for the Dura Control Systems acquisition suggests access to financing beyond the current $1M market cap [1]. The sublingual semaglutide formulation in development could be commercially significant given the explosive demand for GLP-1 drugs, though this product remains in early development with no disclosed clinical data [1][3].</w:t>
      </w:r>
    </w:p>
    <w:p>
      <w:pPr>
        <w:spacing w:after="120"/>
      </w:pPr>
      <w:r>
        <w:rPr>
          <w:rFonts w:ascii="Calibri" w:hAnsi="Calibri"/>
          <w:b w:val="0"/>
          <w:color w:val="3A4A28"/>
          <w:sz w:val="20"/>
        </w:rPr>
        <w:t>Aspire Biopharma presents extreme speculative risk on virtually every dimension. The company has generated only $6,202 in revenue after five years of operation while burning $24.5M annually, with a $0.20 stock price and $1M market cap that reflect near-terminal investor skepticism [2]. The CEO resigned in July 2025 and was replaced by an interim board chairman, no products are FDA-approved or in meaningful clinical trials, and the proposed acquisition of an industrial control systems company is strategically incoherent for a biopharma company [1][3]. The absence of forward earnings estimates, analyst coverage, or institutional ownership makes this uninvestable by IOWN standards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Sublingual semaglutide formulation could tap into the multi-billion-dollar GLP-1 market if development advances to clinical trials [1]</w:t>
      </w:r>
    </w:p>
    <w:p>
      <w:pPr>
        <w:spacing w:before="40" w:after="40"/>
        <w:ind w:left="283"/>
      </w:pPr>
      <w:r>
        <w:rPr>
          <w:rFonts w:ascii="Calibri" w:hAnsi="Calibri"/>
          <w:b/>
          <w:color w:val="4A6B25"/>
          <w:sz w:val="20"/>
        </w:rPr>
        <w:t xml:space="preserve">2. </w:t>
      </w:r>
      <w:r>
        <w:rPr>
          <w:rFonts w:ascii="Calibri" w:hAnsi="Calibri"/>
          <w:b w:val="0"/>
          <w:color w:val="3A4A28"/>
          <w:sz w:val="20"/>
        </w:rPr>
        <w:t>$21M private placement and $22.5M Dura Control Systems acquisition commitment providing capital for operations [1]</w:t>
      </w:r>
    </w:p>
    <w:p>
      <w:pPr>
        <w:spacing w:before="40" w:after="40"/>
        <w:ind w:left="283"/>
      </w:pPr>
      <w:r>
        <w:rPr>
          <w:rFonts w:ascii="Calibri" w:hAnsi="Calibri"/>
          <w:b/>
          <w:color w:val="4A6B25"/>
          <w:sz w:val="20"/>
        </w:rPr>
        <w:t xml:space="preserve">3. </w:t>
      </w:r>
      <w:r>
        <w:rPr>
          <w:rFonts w:ascii="Calibri" w:hAnsi="Calibri"/>
          <w:b w:val="0"/>
          <w:color w:val="3A4A28"/>
          <w:sz w:val="20"/>
        </w:rPr>
        <w:t>Patent-pending sublingual delivery platform could attract partnership interest from larger pharmaceutical companies if validated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Essentially pre-revenue ($6,202 TTM) with $24.5M annual losses and no FDA-approved products after five years of operation [2]</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with CEO resignation and interim replacement, compounded by strategically incoherent industrial acquisition plans [1][3]</w:t>
      </w:r>
    </w:p>
    <w:p>
      <w:pPr>
        <w:spacing w:before="40" w:after="40"/>
        <w:ind w:left="283"/>
      </w:pPr>
      <w:r>
        <w:rPr>
          <w:rFonts w:ascii="Calibri" w:hAnsi="Calibri"/>
          <w:b/>
          <w:color w:val="4A6B25"/>
          <w:sz w:val="20"/>
        </w:rPr>
        <w:t xml:space="preserve">3. </w:t>
      </w:r>
      <w:r>
        <w:rPr>
          <w:rFonts w:ascii="Calibri" w:hAnsi="Calibri"/>
          <w:b w:val="0"/>
          <w:color w:val="3A4A28"/>
          <w:sz w:val="20"/>
        </w:rPr>
        <w:t>$1M market cap and $0.20 stock price with zero analyst coverage reflect extreme dilution risk and potential delisting vulnerability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largely irrelevant to Aspire Biopharma's core sublingual drug delivery technology, which is a physical formulation and manufacturing challenge rather than a software or data-driven business. AI could theoretically accelerate drug formulation screening and clinical trial design, but the company has shown no evidence of AI adoption or capability given its minimal operational scale and early-stage status [1][3]. The company is neither meaningfully threatened by nor positioned to benefit from AI in its current form. AI Opportunity tiebreaker: 0/1 — no AI-related revenue or strategic positioning evident.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Aspire Biopharma press releases — $21M private placement, $5M share repurchase, and Dura Control Systems acquisition commitment,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ASBP key statistics and financial data, accessed May 2026</w:t>
      </w:r>
    </w:p>
    <w:p>
      <w:pPr>
        <w:spacing w:before="20" w:after="20"/>
        <w:ind w:left="170"/>
      </w:pPr>
      <w:r>
        <w:rPr>
          <w:rFonts w:ascii="Calibri" w:hAnsi="Calibri"/>
          <w:b/>
          <w:color w:val="4A6B25"/>
          <w:sz w:val="15"/>
        </w:rPr>
        <w:t xml:space="preserve">3. </w:t>
      </w:r>
      <w:r>
        <w:rPr>
          <w:rFonts w:ascii="Calibri" w:hAnsi="Calibri"/>
          <w:b w:val="0"/>
          <w:color w:val="3A4A28"/>
          <w:sz w:val="17"/>
        </w:rPr>
        <w:t>Aspire Biopharma CEO transition and board appointment announcements,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