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ASML</w:t>
      </w:r>
      <w:r>
        <w:rPr>
          <w:rFonts w:ascii="Calibri" w:hAnsi="Calibri"/>
          <w:b/>
          <w:color w:val="1A2010"/>
          <w:sz w:val="40"/>
        </w:rPr>
        <w:t xml:space="preserve">  ASML Holding N.V.</w:t>
      </w:r>
    </w:p>
    <w:p>
      <w:pPr>
        <w:spacing w:after="120"/>
      </w:pPr>
      <w:r>
        <w:rPr>
          <w:rFonts w:ascii="Calibri" w:hAnsi="Calibri"/>
          <w:b/>
          <w:color w:val="6E8450"/>
          <w:sz w:val="18"/>
        </w:rPr>
        <w:t>GROWTH SLEEVE · 2026-04-22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Netherlands</w:t>
      </w:r>
    </w:p>
    <w:p>
      <w:pPr>
        <w:spacing w:after="80"/>
      </w:pPr>
      <w:r>
        <w:rPr>
          <w:rFonts w:ascii="Calibri" w:hAnsi="Calibri"/>
          <w:b w:val="0"/>
          <w:color w:val="3A4A28"/>
          <w:sz w:val="20"/>
        </w:rPr>
        <w:t>ASML is the world's sole manufacturer of extreme ultraviolet (EUV) lithography systems, the critical technology enabling the most advanced semiconductor chips at 5nm and below. The company also provides deep ultraviolet (DUV) lithography, metrology and inspection systems, and computational lithography software. ASML's customers include TSMC, Samsung, Intel, and other leading chipmakers driving the AI computing revolution.</w:t>
      </w:r>
    </w:p>
    <w:p>
      <w:r>
        <w:rPr>
          <w:rFonts w:ascii="Calibri" w:hAnsi="Calibri"/>
          <w:b/>
          <w:color w:val="6E8450"/>
          <w:sz w:val="18"/>
        </w:rPr>
        <w:t>43,882 Employees · https://www.asml.com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ASML successfully commercialized EUV lithography after a 20+ year, multi-billion-dollar development effort — arguably the most complex engineering achievement in semiconductor history. Q1 2026 revenue grew 13% to EUR8.8B with 53% gross margin, and the company raised full-year 2026 guidance to EUR36-40B (up to 22% growth over 2025's EUR32.7B) [1]. AI Deployment (1/2): ASML's computational lithography software uses advanced modeling to optimize patterning, but the company primarily enables AI rather than deploying AI products directly; no specific AI-driven internal cost savings quantified [2]. Market Share (2/2): ASML holds a 100% monopoly in EUV lithography — no competitor exists. In DUV immersion, ASML also dominates with 80%+ market share. This is arguably the strongest competitive position in the global technology ecosystem [1][2]. Pipeline (2/2): High-NA EUV systems (TWINSCAN EXE:5000 series) are shipping to lead customers for 2nm and below nodes, with clear roadmap visibility. Medium-term capacity plans from customers have stepped up markedly, with record order intake [1]. R&amp;D Intensity (1/1): ASML spends approximately 15% of revenue on R&amp;D — well above semiconductor equipment industry averages — funding the multi-generation EUV roadmap and High-NA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ASML's purpose — 'Unlocking the potential of people and society by pushing technology to new limits' — is specific and thoughtful, connecting lithography to humanity's broader technological advancement [2]. The company has consistently pursued this mission through four decades of advancing photolithography boundaries. Community Impact (1/2): ASML employs 43,882 people and has committed to greenhouse gas neutrality across its value chain by 2040, with zero waste to landfill by 2030. The company has a dedicated ESG sustainability function but no major philanthropic programs were identified [3]. Employee Retention (1/2): Glassdoor 4.0/5 with 82% recommending is strong for a 44K-employee company, though reviews cite mixed leadership culture under new CEO Christophe Fouquet, including concerns about micro-management and resistance to innovation from younger employees [2]. Insider Buying (0/2): No evidence of meaningful net insider buying identified; CEO Fouquet took over in 2024 from Peter Wennink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easily cleared: avg_daily_volume (1,796,380) x stock_price ($1,458.97) = $2.62B [4]. Growth stock scoring on 10 weight units. D/E of 13.0% scores 1.0 — pristine balance sheet with EUR8.4B cash against EUR2.7B debt, net cash position [4]. ROE of 52.2% scores 1.0 at 2x weight (extraordinary return on equity for a capital-intensive equipment maker). Revenue growth YoY of 13.2% scores 1.0. Revenue 5yr CAGR approximately 15.6% (EUR21.2B in 2022 to EUR32.7B in 2025) scores 1.0 at 2x weight [4]. Forward P/E of 30.5 scores 0.74 (premium valuation reflects monopoly position). Profit margin of 29.7% scores 1.0. PEG of 2.26 scores 0.37 at 2x weight (high PEG reflects the premium on scarcity value). Weighted sum: 8.48/10 x 10 = 8.5, rounded to 8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ASML exemplifies infinite game thinking through its 40+ year commitment to advancing lithography technology. The company invested billions over two decades in EUV development when success was uncertain, demonstrating extraordinary courage to lead and existential flexibility. The transition from basic optical to DUV to EUV to now High-NA EUV represents one of the most sustained technological reinvention stories in industrial history.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ASML's cause — unlocking the potential of people and society by pushing technology to new limits — is genuine and partially validated (2/3 points). The company's 40-year commitment to advancing lithography has enabled the entire semiconductor revolution, from personal computers to smartphones to AI. This purpose is distinctive and has survived multiple technology transitions. However, it lacks the generational consistency of a true 3-point Just Cause; the recent CEO transition to Fouquet introduces uncertainty about whether the cause will remain central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some concerns (1/2 points). ASML's 4.0/5 Glassdoor rating and 82% recommendation rate suggest a generally positive work environment for 43,882 employees [2]. However, reviews under new CEO Fouquet cite leadership style shifting from collaborative to directive, micro-management tendencies, and resistance to innovation from senior staff. The rapid organizational changes are creating uncertainty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infinite competitive mindset (1/1 points). ASML operates as a monopoly in EUV but maintains a collaborative ecosystem approach — working closely with TSMC, Intel, Samsung, and key suppliers (Carl Zeiss for optics, TRUMPF for lasers) in a shared mission to advance semiconductor technology. Management acknowledges that customer capabilities drive ASML's success, not the other way around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Transformative flexibility (2/2 points). ASML has reinvented its core technology multiple times: from basic optical lithography to DUV immersion to EUV, each requiring fundamentally new physics and engineering. The current transition to High-NA EUV represents yet another transformative leap. The EUV development program — 20+ years, billions invested, with uncertain commercial viability for much of that period — is one of the most remarkable technology bets in industrial history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Pattern of extraordinary courage (2/2 points). ASML invested billions in EUV development over two decades when many industry observers believed the technology would never work [1][2]. The company persisted through repeated delays, technical setbacks, and skepticism. This is the quintessential example of sacrificing near-term results for long-term capability. The current investment in High-NA EUV continues this pattern of courageous long-term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ASML is the irreplaceable monopoly at the foundation of the AI revolution. Q1 2026 revenue grew 13% to EUR8.8B with 53% gross margin, and management raised full-year 2026 guidance to EUR36-40B (up to 22% growth over 2025), driven by AI-related semiconductor capacity expansion [1]. The company holds a 100% monopoly in EUV lithography — the only technology capable of manufacturing chips at 5nm and below — making it structurally impossible for AI to exist without ASML's machines. ROE of 52.2%, net cash balance sheet (EUR8.4B cash vs EUR2.7B debt), profit margin of 29.7%, and 15.6% 5-year revenue CAGR demonstrate financial excellence befitting a monopolist [4]. High-NA EUV systems are now shipping to lead customers, extending the roadmap to 2nm and beyond. Record order intake and markedly stepped-up customer capacity plans provide multi-year revenue visibility [1].</w:t>
      </w:r>
    </w:p>
    <w:p>
      <w:pPr>
        <w:spacing w:after="120"/>
      </w:pPr>
      <w:r>
        <w:rPr>
          <w:rFonts w:ascii="Calibri" w:hAnsi="Calibri"/>
          <w:b w:val="0"/>
          <w:color w:val="3A4A28"/>
          <w:sz w:val="20"/>
        </w:rPr>
        <w:t>The bear case centers on valuation and geopolitics. At 30.5x forward P/E and 48x trailing P/E, ASML trades at a significant premium that requires sustained growth to justify the $573B market cap [4]. China revenue is expected to drop sharply in 2026 as export control restrictions on advanced lithography equipment take full effect — China represented a significant pre-buying tailwind in 2024-2025 that is now reversing [1]. Geopolitical risk extends beyond China: if U.S.-China tensions escalate further or if Taiwan contingencies materialize, ASML's key customers (TSMC) face existential disruption. The CEO has warned about 'risks related to customers and geopolitics' [2]. The semiconductor industry is cyclical, and the current AI-driven supercycle could decelerate if hyperscaler capital spending moderates. PEG of 2.26 suggests the market already prices in robust growth, limiting upside if execution falters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raised to EUR36-40B with 51-53% gross margin, driven by AI chip capacity expansion and record customer order intake [1]</w:t>
      </w:r>
    </w:p>
    <w:p>
      <w:pPr>
        <w:spacing w:before="40" w:after="40"/>
        <w:ind w:left="283"/>
      </w:pPr>
      <w:r>
        <w:rPr>
          <w:rFonts w:ascii="Calibri" w:hAnsi="Calibri"/>
          <w:b/>
          <w:color w:val="4A6B25"/>
          <w:sz w:val="20"/>
        </w:rPr>
        <w:t xml:space="preserve">2. </w:t>
      </w:r>
      <w:r>
        <w:rPr>
          <w:rFonts w:ascii="Calibri" w:hAnsi="Calibri"/>
          <w:b w:val="0"/>
          <w:color w:val="3A4A28"/>
          <w:sz w:val="20"/>
        </w:rPr>
        <w:t>High-NA EUV system ramp to additional customers, extending ASML's technology lead and ASP per system at 2nm nodes and below [1]</w:t>
      </w:r>
    </w:p>
    <w:p>
      <w:pPr>
        <w:spacing w:before="40" w:after="40"/>
        <w:ind w:left="283"/>
      </w:pPr>
      <w:r>
        <w:rPr>
          <w:rFonts w:ascii="Calibri" w:hAnsi="Calibri"/>
          <w:b/>
          <w:color w:val="4A6B25"/>
          <w:sz w:val="20"/>
        </w:rPr>
        <w:t xml:space="preserve">3. </w:t>
      </w:r>
      <w:r>
        <w:rPr>
          <w:rFonts w:ascii="Calibri" w:hAnsi="Calibri"/>
          <w:b w:val="0"/>
          <w:color w:val="3A4A28"/>
          <w:sz w:val="20"/>
        </w:rPr>
        <w:t>Services revenue growing 25% as the installed base of EUV systems expands, creating recurring high-margin revenue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revenue cliff — export controls are expected to sharply reduce China sales in 2026 after a pre-buying surge, creating a year-over-year headwind [1]</w:t>
      </w:r>
    </w:p>
    <w:p>
      <w:pPr>
        <w:spacing w:before="40" w:after="40"/>
        <w:ind w:left="283"/>
      </w:pPr>
      <w:r>
        <w:rPr>
          <w:rFonts w:ascii="Calibri" w:hAnsi="Calibri"/>
          <w:b/>
          <w:color w:val="4A6B25"/>
          <w:sz w:val="20"/>
        </w:rPr>
        <w:t xml:space="preserve">2. </w:t>
      </w:r>
      <w:r>
        <w:rPr>
          <w:rFonts w:ascii="Calibri" w:hAnsi="Calibri"/>
          <w:b w:val="0"/>
          <w:color w:val="3A4A28"/>
          <w:sz w:val="20"/>
        </w:rPr>
        <w:t>Geopolitical concentration risk — TSMC (ASML's largest customer) and the broader semiconductor supply chain are concentrated in Taiwan, creating tail risk from U.S.-China tensions [2]</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risk — at 30.5x forward P/E and PEG of 2.26, any deceleration in AI-driven semiconductor capex could trigger multiple contraction from the current $573B market cap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ASML is IMMUNE to AI disruption — the company IS the foundational infrastructure of AI. Every advanced AI chip from NVIDIA, AMD, and others is manufactured using ASML's EUV lithography systems at TSMC, Samsung, and Intel. AI cannot disrupt ASML because AI cannot exist without ASML's machines [1][2]. The AI supercycle is actively accelerating ASML's demand: customers are expanding capacity plans, Q1 2026 bookings hit record levels, and management raised 2026 guidance to EUR36-40B driven by AI-related semiconductor capacity expansion [1]. No analyst has ever flagged AI as a risk to ASML — it is universally cited as the primary beneficiary of AI infrastructure buildout. AI Opportunity (1/1): ASML generates direct revenue from AI chip manufacturing capacity. The company's CEO noted that AI has created a structural shift in semiconductor demand, with customers markedly stepping up medium-term capacity plans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ASML Q1 2026 Earnings Release — EUR8.8B revenue, 53% gross margin, 2026 guidance raised to EUR36-40B, April 2026</w:t>
      </w:r>
    </w:p>
    <w:p>
      <w:pPr>
        <w:spacing w:before="20" w:after="20"/>
        <w:ind w:left="170"/>
      </w:pPr>
      <w:r>
        <w:rPr>
          <w:rFonts w:ascii="Calibri" w:hAnsi="Calibri"/>
          <w:b/>
          <w:color w:val="4A6B25"/>
          <w:sz w:val="15"/>
        </w:rPr>
        <w:t xml:space="preserve">2. </w:t>
      </w:r>
      <w:r>
        <w:rPr>
          <w:rFonts w:ascii="Calibri" w:hAnsi="Calibri"/>
          <w:b w:val="0"/>
          <w:color w:val="3A4A28"/>
          <w:sz w:val="17"/>
        </w:rPr>
        <w:t>ASML corporate website, CEO Christophe Fouquet profile, Glassdoor reviews (4.0/5, 4,235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ASML sustainability reporting — GHG neutrality by 2040 target, ESG ratings from Sustainalytics and Triodos Bank,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ASML,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