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w:t>
      </w:r>
      <w:r>
        <w:rPr>
          <w:rFonts w:ascii="Calibri" w:hAnsi="Calibri"/>
          <w:b/>
          <w:color w:val="1A2010"/>
          <w:sz w:val="40"/>
        </w:rPr>
        <w:t xml:space="preserve">  Avino Silver &amp; Gold Mines Ltd.</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American · Canada</w:t>
      </w:r>
    </w:p>
    <w:p>
      <w:pPr>
        <w:spacing w:after="80"/>
      </w:pPr>
      <w:r>
        <w:rPr>
          <w:rFonts w:ascii="Calibri" w:hAnsi="Calibri"/>
          <w:b w:val="0"/>
          <w:color w:val="3A4A28"/>
          <w:sz w:val="20"/>
        </w:rPr>
        <w:t>Avino Silver &amp; Gold Mines is a silver, gold, and copper mining company operating 100%-owned properties in Durango, Mexico: the Avino Mine (flagship), La Preciosa Mine (expansion), and Oxide Tailings Project. The company produced 1.1M oz silver, 7,544 oz gold, and 5.7M lbs copper in FY2025. Founded in 1968, Avino is included in the S&amp;P/TSX Global Gold Mining Index and VanEck Junior Gold Miners ETF (GDXJ).</w:t>
      </w:r>
    </w:p>
    <w:p>
      <w:r>
        <w:rPr>
          <w:rFonts w:ascii="Calibri" w:hAnsi="Calibri"/>
          <w:b/>
          <w:color w:val="6E8450"/>
          <w:sz w:val="18"/>
        </w:rPr>
        <w:t>500 Employees · https://www.avino.com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Avino successfully brought the La Preciosa mine into production and advanced throughput from development stage to 200 tonnes/day by Q4 2025, targeting 500 tonnes/day in 2026 — a meaningful operational expansion that should significantly increase consolidated production [1]. The company also pivoted from a gold-focused miner to silver-primary (58% of production by metal value in 2026). AI Deployment (1/2): Avino is integrating AI for geological modeling using VRIFY software to process 5.94GB of data including 194,277 drill assays and 52 geophysics layers, enabling precise resource targeting and discovery of new silver zones [2]. AI-driven ore sorting and closed-loop mineral recovery systems have replaced less efficient methods. Market Share (0/2): Avino is a junior miner with a $964M market cap — a small participant in the global silver mining industry with no category leadership or meaningful market share data [1]. Pipeline (2/2): Specific 2026 objectives include 15,000 meters of budgeted exploration drilling at both properties, updated mineral reserve/resource estimates by H1 2026, La Preciosa scaling to 500 tonnes/day, and AI integration for data analysis and exploration discovery [2]. R&amp;D Intensity (0/1): Mining companies do not report traditional R&amp;D; innovation occurs through exploration and process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Avino's purpose — 'enriching lives through responsible mining to achieve shared success' — is clear and specific about what the company does and the community impact it seeks, connecting mining to 'industries that shape our world — technology, healthcare, aerospace, and clean energy' [2]. Not generic, but not transformative. Community Impact (2/2): Avino has operated in the same Durango community for 40+ years with 100% Mexican national workforce, three consecutive ESR (Social Responsibility) designations from Cemefi, and specific community programs including water infrastructure, reforestation, and cultural institution support [3]. Employee Retention (1/2): CEO David Wolfin's 15+ year tenure and the company's 500+ employee base in Durango suggest stability, but no specific turnover data is available [2]. Insider Buying (0/2): No specific insider buying data found; Wolfin's 35+ years in the industry and long tenure suggest alignment but no recent purchase evidence.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Avino's financial profile is exceptional for a junior miner. D/E of just 2.6% reflects a debt-free balance sheet with $57.3M cash [1][4]. ROE of 14.8% approaches the 15% target. Revenue growth of 25.3% YoY and estimated 35.8% 5yr CAGR reflect silver price tailwinds and La Preciosa contribution [1]. Forward P/E of 6.5x is deeply undervalued relative to the 20x target. Profit margin of 28.9% and mine operating margin of 53% demonstrate strong cost control [1]. Gross margin of 49% with AISC of $24.06/oz silver equivalent positions Avino well for sustained profitability at current metal prices. Infrastructure calculated mechanically: D/E(1.0) + ROE(0.99,2x) + RevYoY(1.0) + Rev5yr(1.0,2x) + FwdPE(1.0) + Margin(1.0) = 7.97/8 = 10 (PEG excluded, null).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Avino under CEO David Wolfin demonstrates patient long-term thinking — building from a closed mine in 2001 to a multi-property silver producer over 25 years. The 40+ year community relationship in Durango and three ESR designations show genuine commitment to stakeholders beyond shareholders. However, the company's competitive positioning is typical of junior miners focused on resource expansion rather than a distinctive infinite game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'Enriching lives through responsible mining to achieve shared success' is a genuine purpose that connects mining to broader societal benefit (technology, healthcare, clean energy applications for silver) [2]. The 57-year company history and 40+ years in the same Durango community demonstrate consistency of purpose. However, this hasn't been tested through true existential crises — high silver prices have sustained the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Wolfin's 15+ year tenure, 100% Mexican national workforce, and three consecutive ESR designations from Cemefi suggest a stable, community-rooted organization [2][3]. Real-time health and safety monitoring and online training demonstrate investment in worker wellbeing. However, no specific employee satisfaction or voluntary turnover data is available to confirm high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Avino's competitive framing is about self-improvement rather than defeating rivals. The company benchmarks against peer miners' AISC metrics, acknowledges that its revenue growth 'lags behind industry peers' even while beating expectations, and pursues competitive improvement through exploration and AI integration rather than market share warfare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Avino evolved from a closed mine minority owner (2001) to 100% owner (2006) to commercial production (2012) to a multi-mine silver-primary producer with AI integration — a meaningful evolution over 25 years [2]. The acquisition and development of La Preciosa diversified the production base. However, the company has remained a Mexican silver miner throughout — no transformative industry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Wolfin's decision to maintain a debt-free balance sheet while investing in La Preciosa expansion and 15,000 meters of exploration drilling demonstrates capital discipline and long-term thinking [1][2]. The choice to reduce throughput targets at Avino Mine to preserve mine life shows willingness to sacrifice near-term production for long-term sustainability. Board appointment of ESG-focused Linda Broughton signals commitment to responsible mining beyond shareholder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Avino Silver &amp; Gold Mines offers compelling value as a debt-free silver-primary producer with exceptional financial metrics: 28.9% profit margin, 53% mine operating margin, $57.3M cash, D/E of just 2.6%, and forward P/E of 6.5x [1][4]. Revenue growth of 25.3% YoY and 82.9% EPS growth reflect both La Preciosa production contribution and silver price tailwinds. The 2026 outlook is strong: La Preciosa scaling to 500 tonnes/day from 200 tonnes/day, 15,000 meters of exploration drilling, and AI-integrated geological modeling for resource expansion [2]. Silver's structural demand growth from solar, electronics, and AI infrastructure provides a secular tailwind. Q4 2025 revenue of $30.5M exceeded expectations by 6.2%, and the company ranked 5th on the TSX 30 with +610% three-year share price performance [1].</w:t>
      </w:r>
    </w:p>
    <w:p>
      <w:pPr>
        <w:spacing w:after="120"/>
      </w:pPr>
      <w:r>
        <w:rPr>
          <w:rFonts w:ascii="Calibri" w:hAnsi="Calibri"/>
          <w:b w:val="0"/>
          <w:color w:val="3A4A28"/>
          <w:sz w:val="20"/>
        </w:rPr>
        <w:t>The bear case centers on commodity price dependence and Mexico operating risk. Silver prices have driven much of Avino's financial improvement — a sustained silver price decline below $25/oz would compress margins significantly given AISC of $24.06/oz [1]. The company operates exclusively in Durango, Mexico, creating geographic concentration risk including potential regulatory changes, tax increases, or security concerns. Despite strong growth, Avino remains a junior miner ($964M market cap) with limited diversification and dependence on two mines. Q4 2025 EPS of $0.06 missed the $0.08 forecast despite revenue beating estimates, suggesting cost pressures from La Preciosa scaling [1]. The stock has fallen from ~$8.38 (50-day SMA) to $5.94, a 29% decline that may reflect market concerns about peak silver prices or execution risk on La Preciosa throughput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 Preciosa scaling to 500 tonnes/day in 2026 from 200 tonnes/day in Q4 2025, potentially tripling silver production from that mine [2]</w:t>
      </w:r>
    </w:p>
    <w:p>
      <w:pPr>
        <w:spacing w:before="40" w:after="40"/>
        <w:ind w:left="283"/>
      </w:pPr>
      <w:r>
        <w:rPr>
          <w:rFonts w:ascii="Calibri" w:hAnsi="Calibri"/>
          <w:b/>
          <w:color w:val="4A6B25"/>
          <w:sz w:val="20"/>
        </w:rPr>
        <w:t xml:space="preserve">2. </w:t>
      </w:r>
      <w:r>
        <w:rPr>
          <w:rFonts w:ascii="Calibri" w:hAnsi="Calibri"/>
          <w:b w:val="0"/>
          <w:color w:val="3A4A28"/>
          <w:sz w:val="20"/>
        </w:rPr>
        <w:t>15,000 meters of budgeted exploration drilling at both properties with updated mineral reserve/resource estimates expected H1 2026, potentially unlocking significant resource expansion [2]</w:t>
      </w:r>
    </w:p>
    <w:p>
      <w:pPr>
        <w:spacing w:before="40" w:after="40"/>
        <w:ind w:left="283"/>
      </w:pPr>
      <w:r>
        <w:rPr>
          <w:rFonts w:ascii="Calibri" w:hAnsi="Calibri"/>
          <w:b/>
          <w:color w:val="4A6B25"/>
          <w:sz w:val="20"/>
        </w:rPr>
        <w:t xml:space="preserve">3. </w:t>
      </w:r>
      <w:r>
        <w:rPr>
          <w:rFonts w:ascii="Calibri" w:hAnsi="Calibri"/>
          <w:b w:val="0"/>
          <w:color w:val="3A4A28"/>
          <w:sz w:val="20"/>
        </w:rPr>
        <w:t>Structural silver demand growth from solar panels, electronics, and AI data center infrastructure supporting sustained high silver prices above $30/oz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AISC of $24.06/oz silver equivalent leaves limited margin if silver prices decline below $25/oz, compressing profitability from current 53% mine operating margins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Durango, Mexico creates single-jurisdiction risk including regulatory changes, tax increases, and security concerns in a region with historical instability [2]</w:t>
      </w:r>
    </w:p>
    <w:p>
      <w:pPr>
        <w:spacing w:before="40" w:after="40"/>
        <w:ind w:left="283"/>
      </w:pPr>
      <w:r>
        <w:rPr>
          <w:rFonts w:ascii="Calibri" w:hAnsi="Calibri"/>
          <w:b/>
          <w:color w:val="4A6B25"/>
          <w:sz w:val="20"/>
        </w:rPr>
        <w:t xml:space="preserve">3. </w:t>
      </w:r>
      <w:r>
        <w:rPr>
          <w:rFonts w:ascii="Calibri" w:hAnsi="Calibri"/>
          <w:b w:val="0"/>
          <w:color w:val="3A4A28"/>
          <w:sz w:val="20"/>
        </w:rPr>
        <w:t>La Preciosa execution risk — scaling from 200 to 500 tonnes/day is operationally complex and Q4 2025 EPS miss suggests costs are rising faster than production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and gold mining is a physical-world extraction operation that AI structurally cannot displace — ore bodies must be drilled, blasted, hauled, and processed regardless of AI advances [2]. AI actually increases demand for silver through its critical use in electronics, solar panels, and AI data center infrastructure (silver is essential in circuit boards, connectors, and thermal management). Silver demand from solar and electronics sectors is projected to grow as AI infrastructure expands. The regulatory, environmental, and community dimensions of mining in Mexico add further defensive moats. AI Opportunity (0/1): While Avino uses AI internally for geological modeling and ore sorting, these are cost-reduction tools generating no direct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Avino Q4 and Full Year 2025 Financial Results, Benzinga and Investing.com, March 2026</w:t>
      </w:r>
    </w:p>
    <w:p>
      <w:pPr>
        <w:spacing w:before="20" w:after="20"/>
        <w:ind w:left="170"/>
      </w:pPr>
      <w:r>
        <w:rPr>
          <w:rFonts w:ascii="Calibri" w:hAnsi="Calibri"/>
          <w:b/>
          <w:color w:val="4A6B25"/>
          <w:sz w:val="15"/>
        </w:rPr>
        <w:t xml:space="preserve">2. </w:t>
      </w:r>
      <w:r>
        <w:rPr>
          <w:rFonts w:ascii="Calibri" w:hAnsi="Calibri"/>
          <w:b w:val="0"/>
          <w:color w:val="3A4A28"/>
          <w:sz w:val="17"/>
        </w:rPr>
        <w:t>Avino 2026 Outlook and Key 2025 Milestones, company website and leadership page,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Avino CSR Mandate, ESR Designation, and Community Programs, company website,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ASM (Avino Silver &amp; Gold Mines),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