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ASO</w:t>
      </w:r>
      <w:r>
        <w:rPr>
          <w:rFonts w:ascii="Calibri" w:hAnsi="Calibri"/>
          <w:b/>
          <w:color w:val="1A2010"/>
          <w:sz w:val="40"/>
        </w:rPr>
        <w:t xml:space="preserve">  Academy Sports and Outdoors, Inc.</w:t>
      </w:r>
    </w:p>
    <w:p>
      <w:pPr>
        <w:spacing w:after="120"/>
      </w:pPr>
      <w:r>
        <w:rPr>
          <w:rFonts w:ascii="Calibri" w:hAnsi="Calibri"/>
          <w:b/>
          <w:color w:val="6E8450"/>
          <w:sz w:val="18"/>
        </w:rPr>
        <w:t>GROWTH SLEEVE · 2026-04-24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Academy Sports and Outdoors is a sporting goods and outdoor recreational retailer operating 290+ stores across the southern United States. The company sells sporting equipment, outdoor gear, apparel, and footwear across four divisions: Outdoors (camping, fishing, hunting), Sports &amp; Recreation, Apparel, and Footwear, under brands including Academy Sports + Outdoors, Magellan Outdoors, BCG, and Game Winner.</w:t>
      </w:r>
    </w:p>
    <w:p>
      <w:r>
        <w:rPr>
          <w:rFonts w:ascii="Calibri" w:hAnsi="Calibri"/>
          <w:b/>
          <w:color w:val="6E8450"/>
          <w:sz w:val="18"/>
        </w:rPr>
        <w:t>10,350 Employees · https://www.academy.com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Academy has executed steady store expansion (290+ locations) and e-commerce buildout since its 2020 IPO, but no transformative product launches or business model pivots — the core sporting goods retail model is unchanged [1]. AI Deployment (2/2): Academy has deployed AI for item-level allocation and replenishment planning via invent.ai partnership, with AI woven into e-commerce for personalized product recommendations, dynamic site search, and behavioral targeting — quantified as driving measurable revenue improvement [2]. Market Share (1/2): Academy is a meaningful regional player in sporting goods but competes against larger national chains (Dick's Sporting Goods, Bass Pro/Cabela's) and does not lead any category nationally; stable but not gaining share at a notable rate [1]. Pipeline (0/2): No specific next-generation concepts, formats, or technology platforms announced with timelines beyond continued store openings and incremental digital improvements [1]. R&amp;D Intensity (1/1): Significant investment in technology modernization under new CIO Sumit Anand (joined 2025), including AI-powered merchandising and IT infrastructure overhaul, above typical specialty retail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Academy's purpose centers on being 'the best sports and outdoors retailer in the country' — clear and category-specific but ultimately a competitive aspiration rather than a transformative vision for customers or communities [3]. Community Impact (1/2): Academy has general community engagement through sports sponsorships and local store involvement, but no distinctive large-scale foundation or quantified charitable programs stand out from peer retailers [3]. Employee Retention (0/2): Glassdoor rating of 3.3/5 with only 49% recommending to a friend and 40% positive outlook; reviews cite concerns about rolling layoffs, numbers-focused management, and declining culture under corporate restructuring [2]. Insider Buying (1/2): Director Jeffrey Tweedy sold 4,000 shares in April 2026 at $60; CEO Lawrence and President Johnson received stock grants in March 2026 but no open-market purchases observed — neutral to slightly negative insider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Academy's valuation is compelling at 8.2x forward P/E with a 0.67 PEG ratio, suggesting the market prices in minimal growth for a profitable retailer [5]. D/E of 87.2% is manageable for specialty retail with $1.89B debt against $330M cash. ROE of 18.0% exceeds the 15% target, demonstrating efficient capital deployment despite declining earnings trajectory (net income fell from $628M in FY2023 to $377M in FY2026) [5]. Profit margin of 6.2% is thin for the sector but typical for sporting goods retail. Revenue of $6.05B grew just 2.5% YoY with a negative 3-year CAGR of -1.8%, reflecting post-COVID normalization from the 2021-2022 demand surge [1]. FY2026 guidance of $6.2-$6.4B revenue with $6.10-$6.60 EPS suggests modest recovery ahead [1]. Liquidity floor easily cleared: 1.48M avg vol × $56.77 = $84M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Academy Sports plays a largely finite game focused on operational efficiency and quarterly earnings optimization. While the company has demonstrated some adaptability since its 2020 IPO, the dominant strategic narrative is about hitting EPS targets and managing costs rather than pursuing a larger purpose. Recent leadership changes and employee satisfaction concerns suggest organizational turbulence.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Academy's stated ambition to be 'the best sports and outdoors retailer in the country' is a competitive goal, not a Just Cause in Sinek's framework — it describes winning, not advancing a future state worth sacrificing for [3]. The company's public messaging centers on financial metrics and store count growth rather than articulating why accessible sporting goods and outdoor recreation matter for communities. Just Cause: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3.3/5 rating with employee reviews citing rolling layoffs, numbers-focused management, and declining culture suggests an adequate but challenged trust environment [2]. CEO Steve Lawrence (since June 2023) inherited an organization in post-IPO transition, and the planned leadership succession announcement signals some organizational planning. However, 40% positive business outlook is below average. Trusting Teams: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Academy's competitive language focuses on market share gains and beating Dick's Sporting Goods rather than learning from rivals' strengths. Management commentary emphasizes 'winning' in their geographic markets and positioning against competitors rather than acknowledging areas for improvement [1]. Worthy Rivals: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Academy has evolved from a pure brick-and-mortar retailer to an omnichannel operator since its 2020 IPO, investing in e-commerce, AI-driven merchandising, and technology modernization under a new CIO [2]. The expansion from regional Texas roots to 290+ stores across the southern U.S. shows geographic adaptability. However, the core business model remains unchanged — the company has not made any transformative strategic pivot.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Academy demonstrated some courage by investing in technology modernization and AI capabilities during a period of declining earnings (net income down 40% from FY2023 peak to FY2026), prioritizing long-term capability over short-term cost-cutting [2]. The FY2026 guidance of $6.10-$6.60 EPS suggests management is investing through the normalization cycle. However, rolling layoffs reported by employees suggest the company also defaults to cost reduction when pressure mounts [2].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Academy Sports trades at a compelling 8.2x forward P/E with a 0.67 PEG ratio, offering deep value for a profitable sporting goods retailer generating $6.05B in annual revenue with 18.0% ROE [1][5]. FY2026 guidance of $6.2-$6.4B revenue and $6.10-$6.60 EPS points to modest growth recovery after post-COVID normalization. The company's investment in AI-powered merchandising (invent.ai partnership) and technology modernization positions Academy to improve margins and inventory efficiency. With 290+ stores concentrated in the fast-growing southern U.S. and a strong position in defensive categories (firearms, hunting, outdoor gear), Academy offers reasonable downside protection with expansion upside as new store openings drive revenue growth [1][2].</w:t>
      </w:r>
    </w:p>
    <w:p>
      <w:pPr>
        <w:spacing w:after="120"/>
      </w:pPr>
      <w:r>
        <w:rPr>
          <w:rFonts w:ascii="Calibri" w:hAnsi="Calibri"/>
          <w:b w:val="0"/>
          <w:color w:val="3A4A28"/>
          <w:sz w:val="20"/>
        </w:rPr>
        <w:t>The bear case centers on a deteriorating earnings trajectory and competitive headwinds. Net income has declined 40% from $628M (FY2023) to $377M (FY2026), and revenue has been essentially flat over three years with a -1.8% CAGR, suggesting the COVID-era demand surge has fully normalized and organic growth is elusive [1]. Profit margin of 6.2% is thin, leaving little buffer against tariff-driven cost increases on imported sporting goods and apparel. Dick's Sporting Goods holds dominant national market share with superior brand partnerships and e-commerce capabilities. Employee satisfaction (3.3/5 Glassdoor, 49% recommendation) and reports of rolling layoffs suggest internal cultural challenges that could hinder execution [2]. The firearms and ammunition category (~20% of revenue) faces regulatory and ESG headwinds that constrain the investor base. Tariff exposure on Chinese-sourced inventory is a near-term margin risk that management is actively managing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$6.2-$6.4B revenue and $6.10-$6.60 EPS, representing potential earnings stabilization after two years of post-COVID decline [1]</w:t>
      </w:r>
    </w:p>
    <w:p>
      <w:pPr>
        <w:spacing w:before="40" w:after="40"/>
        <w:ind w:left="283"/>
      </w:pPr>
      <w:r>
        <w:rPr>
          <w:rFonts w:ascii="Calibri" w:hAnsi="Calibri"/>
          <w:b/>
          <w:color w:val="4A6B25"/>
          <w:sz w:val="20"/>
        </w:rPr>
        <w:t xml:space="preserve">2. </w:t>
      </w:r>
      <w:r>
        <w:rPr>
          <w:rFonts w:ascii="Calibri" w:hAnsi="Calibri"/>
          <w:b w:val="0"/>
          <w:color w:val="3A4A28"/>
          <w:sz w:val="20"/>
        </w:rPr>
        <w:t>AI-powered merchandising and item-level allocation via invent.ai partnership driving margin improvement through better inventory management and reduced markdowns [2]</w:t>
      </w:r>
    </w:p>
    <w:p>
      <w:pPr>
        <w:spacing w:before="40" w:after="40"/>
        <w:ind w:left="283"/>
      </w:pPr>
      <w:r>
        <w:rPr>
          <w:rFonts w:ascii="Calibri" w:hAnsi="Calibri"/>
          <w:b/>
          <w:color w:val="4A6B25"/>
          <w:sz w:val="20"/>
        </w:rPr>
        <w:t xml:space="preserve">3. </w:t>
      </w:r>
      <w:r>
        <w:rPr>
          <w:rFonts w:ascii="Calibri" w:hAnsi="Calibri"/>
          <w:b w:val="0"/>
          <w:color w:val="3A4A28"/>
          <w:sz w:val="20"/>
        </w:rPr>
        <w:t>Continued new store expansion in underpenetrated southern U.S. markets, with each new store adding incremental revenue in high-growth demographics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earnings erosion — net income declining 40% over three years (FY2023 $628M to FY2026 $377M) may signal structural competitive pressure from Dick's Sporting Goods and Amazon rather than temporary normalization [1]</w:t>
      </w:r>
    </w:p>
    <w:p>
      <w:pPr>
        <w:spacing w:before="40" w:after="40"/>
        <w:ind w:left="283"/>
      </w:pPr>
      <w:r>
        <w:rPr>
          <w:rFonts w:ascii="Calibri" w:hAnsi="Calibri"/>
          <w:b/>
          <w:color w:val="4A6B25"/>
          <w:sz w:val="20"/>
        </w:rPr>
        <w:t xml:space="preserve">2. </w:t>
      </w:r>
      <w:r>
        <w:rPr>
          <w:rFonts w:ascii="Calibri" w:hAnsi="Calibri"/>
          <w:b w:val="0"/>
          <w:color w:val="3A4A28"/>
          <w:sz w:val="20"/>
        </w:rPr>
        <w:t>Tariff exposure on Chinese-sourced sporting goods, apparel, and footwear inventory threatening already-thin 6.2% profit margins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evidenced by 49% Glassdoor recommendation rate and employee reports of rolling layoffs, potentially undermining customer service quality and retention of key talent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Academy's core business — physical retail stores selling sporting goods, firearms, and outdoor equipment — has moderate AI disruption protection. The in-store experience for categories like firearms, footwear fitting, and outdoor gear provides natural defense against pure digital substitution. However, AI-enhanced e-commerce platforms from Amazon and specialty competitors could erode market share in commodity categories (apparel, basic equipment). The physical try-before-you-buy advantage in sporting goods provides meaningful but not total protection [1]. AI Opportunity (1/1): Academy is actively deploying AI through its invent.ai partnership for item-level allocation and replenishment, plus AI-powered personalization on its e-commerce platform, representing quantifiable operational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Academy Sports and Outdoors FY2026 Earnings Release and FY2027 Guidance — $6.05B revenue, 2.5% growth, $6.10-$6.60 EPS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Chain Store Age, National CIO Review, invent.ai — Academy Sports AI deployment for item-level allocation, e-commerce personalization, and IT modernization, 2025-2026</w:t>
      </w:r>
    </w:p>
    <w:p>
      <w:pPr>
        <w:spacing w:before="20" w:after="20"/>
        <w:ind w:left="170"/>
      </w:pPr>
      <w:r>
        <w:rPr>
          <w:rFonts w:ascii="Calibri" w:hAnsi="Calibri"/>
          <w:b/>
          <w:color w:val="4A6B25"/>
          <w:sz w:val="15"/>
        </w:rPr>
        <w:t xml:space="preserve">3. </w:t>
      </w:r>
      <w:r>
        <w:rPr>
          <w:rFonts w:ascii="Calibri" w:hAnsi="Calibri"/>
          <w:b w:val="0"/>
          <w:color w:val="3A4A28"/>
          <w:sz w:val="17"/>
        </w:rPr>
        <w:t>Academy Sports and Outdoors Corporate Responsibility and ESG Reports — community engagement, sustainability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ASO insider transactions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ASO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