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ASPI</w:t>
      </w:r>
      <w:r>
        <w:rPr>
          <w:rFonts w:ascii="Calibri" w:hAnsi="Calibri"/>
          <w:b/>
          <w:color w:val="1A2010"/>
          <w:sz w:val="40"/>
        </w:rPr>
        <w:t xml:space="preserve">  ASP Isotopes Inc.</w:t>
      </w:r>
    </w:p>
    <w:p>
      <w:pPr>
        <w:spacing w:after="120"/>
      </w:pPr>
      <w:r>
        <w:rPr>
          <w:rFonts w:ascii="Calibri" w:hAnsi="Calibri"/>
          <w:b/>
          <w:color w:val="6E8450"/>
          <w:sz w:val="18"/>
        </w:rPr>
        <w:t>GROWTH SLEEVE · 2026-03-31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NASDAQ · United States</w:t>
      </w:r>
    </w:p>
    <w:p>
      <w:pPr>
        <w:spacing w:after="80"/>
      </w:pPr>
      <w:r>
        <w:rPr>
          <w:rFonts w:ascii="Calibri" w:hAnsi="Calibri"/>
          <w:b w:val="0"/>
          <w:color w:val="3A4A28"/>
          <w:sz w:val="20"/>
        </w:rPr>
        <w:t>ASP Isotopes is a development-stage advanced materials company that produces and enriches isotopes using its proprietary Aerodynamic Separation Process. It operates in two segments: Nuclear Fuels (HALEU production via Quantum Leap Energy subsidiary) and Specialist Isotopes (Silicon-28, Carbon-12/14, Ytterbium-176, Nickel-64 for healthcare, semiconductors, and quantum computing).</w:t>
      </w:r>
    </w:p>
    <w:p>
      <w:r>
        <w:rPr>
          <w:rFonts w:ascii="Calibri" w:hAnsi="Calibri"/>
          <w:b/>
          <w:color w:val="6E8450"/>
          <w:sz w:val="18"/>
        </w:rPr>
        <w:t>136 Employees · https://aspisotopes.com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ASP Isotopes transitioned from pure development to early commercialization in 2025, shipping Silicon-28, Carbon-12/14, and Ytterbium-176 while simultaneously executing the Renergen acquisition and Luminar-derived QLE subsidiary — multiple strategic moves within 18 months [1]. Revenue more than doubled from $2.95M to $7.2M in the first nine months of 2025. AI Deployment (1/2): ASP's isotopes directly enable AI infrastructure — Silicon-28 is critical for semiconductor and quantum computing applications, creating indirect AI revenue contribution [2]. Market Share (1/2): The company is establishing first-mover advantage in laser-based isotope enrichment, with structural shortages of key isotopes historically dependent on Russia and China creating a favorable competitive position [1]. Pipeline (2/2): Four new laser production plants for Gadolinium-160, Zinc-68, Nickel-64, and Lithium-6/7 beginning construction Q1 2026, plus QLE's HALEU facility at Pelindaba with TerraPower financing — specific products with timelines and $50-70M 2026 revenue target [1]. R&amp;D Intensity (1/1): Virtually all company spending is research and development — $96.5M in nine-month losses against $7.2M revenue reflects extreme R&amp;D intensity relative to the early-stage chemicals sector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ASP's purpose of 'enriching our future' through isotope production for healthcare, clean energy, and quantum computing is clear and connects to meaningful applications, but reads as a tagline rather than a deeply lived cause [2]. Community Impact (1/2): Operations in South Africa have 'generated immense goodwill' and strengthened government relationships, contributing to local economic development in Pelindaba, though specific charitable programs or dollar amounts were not detailed [3]. Employee Retention (0/2): With only 136 employees and a recent CEO leadership transition (founder Paul Mann stepping back for health, COO Robert Ainscow as interim CEO), organizational stability is uncertain; no retention data available [2]. Insider Buying (1/2): Founder Paul Mann retains significant equity as Executive Chairman, and the company raised $113.9M through stock offerings in mid-2025, indicating investor conviction if not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ASP Isotopes exhibits the financial profile of a development-stage company transitioning to commercialization. Revenue surged 349.5% YoY but from a tiny $2.95M base to $7.2M (9 months), and the company targets $50-70M in 2026 [1]. ROE of -152.6% reflects chronic losses ($96.5M net loss in 9 months), and profit margins are deeply negative. D/E of 117.7% is elevated but manageable given $113.9M cash against $113.7M debt, providing a balanced leverage position [1]. Forward P/E is negative (unprofitable), PEG not calculable. The strong current ratio of 6.1 provides liquidity cushion. Market cap of $528M at $4.22/share values the company at ~6x targeted 2026 revenue midpoint ($60M). Liquidity floor cleared at $23.1M daily (5.5M shares × $4.22)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ASP Isotopes is a young, development-stage company that has not yet faced the tests Sinek uses to evaluate infinite game players — leadership transitions under pressure, multi-decade consistency, and cause-driven sacrifice during adversity. The founder's health-related departure, aggressive acquisition strategy, and speculative positioning suggest a company still finding its footing rather than playing an established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ASP's purpose of providing critical isotopes for healthcare, clean energy, and advanced technology addresses genuine global needs — reducing dependence on Russian/Chinese supply chains for essential materials [1]. However, the company is only 3-4 years old as a public entity, and the cause hasn't been tested through crisis or multi-decade execution. The dual focus on specialist isotopes AND nuclear fuels (via QLE spinoff) may dilute cause clarity. (1/3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136 employees, the CEO transition (Mann to Ainscow as interim), and operations split across the U.S., South Africa, and Iceland, organizational stability is uncertain [2]. The planned QLE spinoff further fragments the team. The Fuzzy Panda short-seller attack likely created internal stress. No evidence of cultural practices that create psychological safety or long-term employee commitment at this early stage.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ASP positions itself as disrupting Russian and Chinese isotope supply dominance, framing competition in geopolitical terms rather than learning from rivals [1]. The company's messaging focuses on proprietary technology advantages and market capture rather than acknowledging competitors' strengths. No evidence of an improvement-oriented competitive mindset.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ASP has demonstrated strategic flexibility by expanding from specialist isotopes into nuclear fuels (HALEU via QLE), acquiring Renergen for helium/natural gas, and pivoting from pure R&amp;D to commercialization with multiple product lines [1][2]. These are meaningful adaptations, though the company is too young to have faced a true existential test.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build isotope enrichment facilities in South Africa using novel technology, pursue HALEU production with TerraPower financing, and acquire Renergen while still pre-profit all reflect boldness [1]. Management has bet the company on multiple high-risk initiatives simultaneously, which requires conviction if not Sinek's cause-driven courage.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ASP Isotopes is an early-stage compounder positioned at the intersection of nuclear energy renaissance, semiconductor supply chain security, and geopolitical reshoring [1]. Revenue more than doubled in 2025 to $7.2M (9 months) with a $50-70M 2026 target, supported by commercial shipments of Silicon-28, Carbon-12/14, and Ytterbium-176 [1]. The company addresses structural isotope shortages historically dependent on Russia and China, with four new production plants breaking ground in Q1 2026. The QLE subsidiary's HALEU enrichment facility, financed by TerraPower, provides exposure to advanced nuclear fuel demand estimated at 3,000 metric tons by 2035 [2]. The Renergen acquisition adds helium and natural gas revenue, targeting $300M combined EBITDA by 2030. At $528M market cap with $113.9M cash, the risk-reward is asymmetric if the company executes.</w:t>
      </w:r>
    </w:p>
    <w:p>
      <w:pPr>
        <w:spacing w:after="120"/>
      </w:pPr>
      <w:r>
        <w:rPr>
          <w:rFonts w:ascii="Calibri" w:hAnsi="Calibri"/>
          <w:b w:val="0"/>
          <w:color w:val="3A4A28"/>
          <w:sz w:val="20"/>
        </w:rPr>
        <w:t>The bear case is significant for this development-stage company. Nine-month net losses of $96.5M dwarf $7.2M revenue, and the $50-70M 2026 target requires a 7-10x revenue step-up that may not materialize [1]. The Fuzzy Panda short-seller report raised legitimate questions about the company's claims and financial viability [3]. Founder/CEO Paul Mann's health-related departure creates leadership uncertainty with an interim CEO in place. The proprietary ASP technology is unproven at commercial scale — commissioning production plants in South Africa introduces country risk, regulatory risk, and execution risk [2]. D/E of 117.7% with $113.7M debt adds financial fragility to operational risk. The stock's beta of 3.57 reflects extreme volatility, and the company has a history of dilutive capital raises. Nuclear enrichment operations face regulatory hurdles across multiple jurisdictions (South Africa, UK, USA). HALEU revenue is years away, and automotive/industrial customers have not yet validated the technology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Four new laser production plants (Gadolinium-160, Zinc-68, Nickel-64, Lithium-6/7) breaking ground Q1 2026 could rapidly expand capacity and drive toward the $50-70M revenue target [1]</w:t>
      </w:r>
    </w:p>
    <w:p>
      <w:pPr>
        <w:spacing w:before="40" w:after="40"/>
        <w:ind w:left="283"/>
      </w:pPr>
      <w:r>
        <w:rPr>
          <w:rFonts w:ascii="Calibri" w:hAnsi="Calibri"/>
          <w:b/>
          <w:color w:val="4A6B25"/>
          <w:sz w:val="20"/>
        </w:rPr>
        <w:t xml:space="preserve">2. </w:t>
      </w:r>
      <w:r>
        <w:rPr>
          <w:rFonts w:ascii="Calibri" w:hAnsi="Calibri"/>
          <w:b w:val="0"/>
          <w:color w:val="3A4A28"/>
          <w:sz w:val="20"/>
        </w:rPr>
        <w:t>Quantum Leap Energy IPO spinoff would unlock hidden value in the HALEU nuclear fuels business and provide ASPI shareholders with distributed equity in a high-growth subsidiary [2]</w:t>
      </w:r>
    </w:p>
    <w:p>
      <w:pPr>
        <w:spacing w:before="40" w:after="40"/>
        <w:ind w:left="283"/>
      </w:pPr>
      <w:r>
        <w:rPr>
          <w:rFonts w:ascii="Calibri" w:hAnsi="Calibri"/>
          <w:b/>
          <w:color w:val="4A6B25"/>
          <w:sz w:val="20"/>
        </w:rPr>
        <w:t xml:space="preserve">3. </w:t>
      </w:r>
      <w:r>
        <w:rPr>
          <w:rFonts w:ascii="Calibri" w:hAnsi="Calibri"/>
          <w:b w:val="0"/>
          <w:color w:val="3A4A28"/>
          <w:sz w:val="20"/>
        </w:rPr>
        <w:t>Renergen acquisition integration expected to be 'highly accretive' to revenue, EBITDA, and EPS starting in 2026, with $300M EBITDA target by 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Massive execution risk — $96.5M losses against $7.2M revenue requires flawless commercialization of multiple isotope products and facilities simultaneously across three continents [1]</w:t>
      </w:r>
    </w:p>
    <w:p>
      <w:pPr>
        <w:spacing w:before="40" w:after="40"/>
        <w:ind w:left="283"/>
      </w:pPr>
      <w:r>
        <w:rPr>
          <w:rFonts w:ascii="Calibri" w:hAnsi="Calibri"/>
          <w:b/>
          <w:color w:val="4A6B25"/>
          <w:sz w:val="20"/>
        </w:rPr>
        <w:t xml:space="preserve">2. </w:t>
      </w:r>
      <w:r>
        <w:rPr>
          <w:rFonts w:ascii="Calibri" w:hAnsi="Calibri"/>
          <w:b w:val="0"/>
          <w:color w:val="3A4A28"/>
          <w:sz w:val="20"/>
        </w:rPr>
        <w:t>Leadership uncertainty with founder Paul Mann on health leave and interim CEO Robert Ainscow — the planned QLE spinoff adds organizational complexity at a critical scaling moment [2]</w:t>
      </w:r>
    </w:p>
    <w:p>
      <w:pPr>
        <w:spacing w:before="40" w:after="40"/>
        <w:ind w:left="283"/>
      </w:pPr>
      <w:r>
        <w:rPr>
          <w:rFonts w:ascii="Calibri" w:hAnsi="Calibri"/>
          <w:b/>
          <w:color w:val="4A6B25"/>
          <w:sz w:val="20"/>
        </w:rPr>
        <w:t xml:space="preserve">3. </w:t>
      </w:r>
      <w:r>
        <w:rPr>
          <w:rFonts w:ascii="Calibri" w:hAnsi="Calibri"/>
          <w:b w:val="0"/>
          <w:color w:val="3A4A28"/>
          <w:sz w:val="20"/>
        </w:rPr>
        <w:t>Short-seller scrutiny from Fuzzy Panda Research raises credibility questions, and beta of 3.57 reflects extreme volatility that could trigger cascading sell-offs in a risk-off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ASP Isotopes produces physical materials — enriched isotopes and nuclear fuels — that AI cannot substitute. Isotope enrichment requires specialized physical processes (aerodynamic separation, laser enrichment) and nuclear-regulated facilities that create formidable barriers to AI disruption [2]. The company's isotopes are inputs to AI-adjacent industries: Silicon-28 for advanced semiconductors, Lithium-6/7 for quantum computing, and HALEU for nuclear power plants that fuel AI data centers. Structural supply shortages (historically dependent on Russia/China) combined with rising demand from semiconductors and AI infrastructure make ASP a potential beneficiary of the AI buildout [1]. AI Opportunity (1/1): Silicon-28 production directly serves the semiconductor supply chain that underpins AI computing, and HALEU fuel enables nuclear power generation for AI data centers — quantifiable materials contributing to AI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ASP Isotopes Q3 2025 10-Q — $7.2M 9-month revenue, $96.5M net loss, $113.9M cash, $50-70M 2026 target</w:t>
      </w:r>
    </w:p>
    <w:p>
      <w:pPr>
        <w:spacing w:before="20" w:after="20"/>
        <w:ind w:left="170"/>
      </w:pPr>
      <w:r>
        <w:rPr>
          <w:rFonts w:ascii="Calibri" w:hAnsi="Calibri"/>
          <w:b/>
          <w:color w:val="4A6B25"/>
          <w:sz w:val="15"/>
        </w:rPr>
        <w:t xml:space="preserve">2. </w:t>
      </w:r>
      <w:r>
        <w:rPr>
          <w:rFonts w:ascii="Calibri" w:hAnsi="Calibri"/>
          <w:b w:val="0"/>
          <w:color w:val="3A4A28"/>
          <w:sz w:val="17"/>
        </w:rPr>
        <w:t>ASP Isotopes leadership changes — Paul Mann to Executive Chairman, Ainscow interim CEO, Dr. Pretorius CEO of QLE, October 2025</w:t>
      </w:r>
    </w:p>
    <w:p>
      <w:pPr>
        <w:spacing w:before="20" w:after="20"/>
        <w:ind w:left="170"/>
      </w:pPr>
      <w:r>
        <w:rPr>
          <w:rFonts w:ascii="Calibri" w:hAnsi="Calibri"/>
          <w:b/>
          <w:color w:val="4A6B25"/>
          <w:sz w:val="15"/>
        </w:rPr>
        <w:t xml:space="preserve">3. </w:t>
      </w:r>
      <w:r>
        <w:rPr>
          <w:rFonts w:ascii="Calibri" w:hAnsi="Calibri"/>
          <w:b w:val="0"/>
          <w:color w:val="3A4A28"/>
          <w:sz w:val="17"/>
        </w:rPr>
        <w:t>Fuzzy Panda Research short report on ASPI; Sustainalytics/SEC filings for ESG context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ASPI (ASP Isotopes),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