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ASST</w:t>
      </w:r>
      <w:r>
        <w:rPr>
          <w:rFonts w:ascii="Calibri" w:hAnsi="Calibri"/>
          <w:b/>
          <w:color w:val="1A2010"/>
          <w:sz w:val="40"/>
        </w:rPr>
        <w:t xml:space="preserve">  Strive Asset Management, LLC</w:t>
      </w:r>
    </w:p>
    <w:p>
      <w:pPr>
        <w:spacing w:after="120"/>
      </w:pPr>
      <w:r>
        <w:rPr>
          <w:rFonts w:ascii="Calibri" w:hAnsi="Calibri"/>
          <w:b/>
          <w:color w:val="6E8450"/>
          <w:sz w:val="18"/>
        </w:rPr>
        <w:t>GROWTH SLEEVE · 2026-04-01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Strive Asset Management is an SEC-registered investment adviser managing ~$1.9B in AUM across approximately 13 ETFs, collective investment trusts, and a direct indexing platform. Founded in 2022 by Vivek Ramaswamy and Anson Frericks, Strive has pivoted to a Bitcoin treasury strategy under CEO Matt Cole, positioning itself as a Bitcoin treasury company seeking to outperform Bitcoin over the long run.</w:t>
      </w:r>
    </w:p>
    <w:p>
      <w:r>
        <w:rPr>
          <w:rFonts w:ascii="Calibri" w:hAnsi="Calibri"/>
          <w:b/>
          <w:color w:val="6E8450"/>
          <w:sz w:val="18"/>
        </w:rPr>
        <w:t>28 Employees · https://www.strive.com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Strive grew AUM from zero to ~$1.9B in under three years with a suite of anti-ESG ETFs and recently pivoted to a Bitcoin treasury strategy, including the acquisition of Semler Scientific in January 2026 [1]. The pivot is bold but unproven. AI Deployment (0/2): No AI-powered products or quantified AI-driven efficiency gains; Strive's CEO has discussed AI disruption risk at portfolio companies but has not deployed AI within Strive's own operations [2]. Market Share (1/2): Strive is the largest anti-ESG asset manager by AUM per Morningstar, but at $1.9B it is a minnow compared to BlackRock ($9T) and Vanguard ($8T) [3]. Pipeline (1/2): Direct indexing partnership with Fidelity and Schwab platforms expands distribution, and the Bitcoin treasury pivot provides a differentiated strategy, but no specific next-gen product launches with revenue visibility [3]. R&amp;D Intensity (0/1): No meaningful R&amp;D spend; Strive is an asset management firm without proprietary technology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Strive's mission to 'restore the foundational principles of American enterprise — where value is earned, talent rises, and innovation leads' is clear and specific to its identity, but it reads more as a political positioning statement than a transformative vision for the future [2]. Community Impact (0/2): No evidence of charitable programs, foundation, or community investment beyond corporate advocacy activities [3]. Employee Retention (0/2): With only 28 employees and no public retention data, and the founder Ramaswamy departing for politics, there is insufficient evidence of mission-driven retention [2]. Insider Buying (1/2): Insiders hold only 1.8% of shares, but CEO Matt Cole received $2.58M in compensation (79.2% stock-based), indicating alignment through equity rather than open-market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Strive's balance sheet is clean with D/E of just 0.57% and a current ratio of 6.66, reflecting the $67.5M cash position against minimal debt [1]. However, the company is deeply unprofitable with a net loss of -$424.9M on only $5.73M revenue, driven by the Bitcoin treasury strategy and Semler acquisition costs [1]. ROE is -111.5% and profit margin is effectively zero. Revenue grew 21.4% YoY (from $3.65M to $5.73M), but the absolute base is tiny [1]. Forward P/E is negative at -55.7, reflecting continued expected losses. The stock trades at 0.77x book value, suggesting the market is skeptical of the Bitcoin treasury pivot. Liquidity floor cleared at $47.5M daily traded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Strive exhibits primarily finite game characteristics — founded as a politically-motivated counter to ESG investing, it has already pivoted dramatically to a Bitcoin treasury strategy within three years of founding. The company's competitive language centers on 'defeating' ESG and DEI rather than building enduring value. Leadership instability (founder departure for politics) and the speculative Bitcoin pivot suggest optimization for short-term positioning rather than long-term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Strive's stated cause of 'restoring the foundational principles of American enterprise' has some specificity but reads as reactive (anti-ESG) rather than proactive [2]. A Just Cause should describe a future state so appealing people sacrifice to advance it — Strive's cause is defined more by what it opposes than what it builds. The rapid pivot to Bitcoin treasury further undermines cause consistency, as the company's identity shifted from 'depoliticize corporate America' to 'outperform Bitcoin' in under three years [1].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28 employees and no Glassdoor data specific to Strive Asset Management, there is no evidence of a high-trust organizational culture [2]. The founder's departure for a presidential campaign and subsequent leadership transition created organizational instability. CEO Matt Cole was appointed in September 2025 and is still establishing his leadership.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Strive's competitive language is distinctly finite — framing BlackRock, Vanguard, and State Street as adversaries to defeat rather than rivals to learn from [3]. The company's messaging about 'defeating ESG and DEI overreach' and 'depoliticizing corporate America' positions competition as a war to win rather than an opportunity to improve.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Strive has demonstrated willingness to transform, pivoting from a pure anti-ESG ETF company to a Bitcoin treasury company within three years [1]. The Semler Scientific acquisition and Bitcoin accumulation strategy represent a dramatic strategic shift. However, this flexibility appears driven by opportunism (following the MicroStrategy playbook during the Bitcoin bull market) rather than service to a Just Cause.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Matt Cole has shown some courage in pursuing the unconventional Bitcoin treasury strategy, including successfully persuading GameStop to adopt Bitcoin in its treasury and launching a $1.5B convertible note advocacy campaign [2]. The willingness to stake the company's identity on a volatile asset requires conviction. However, it is unclear whether this reflects principled long-term thinking or speculative risk-taking.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Strive Asset Management has carved a unique niche as the largest anti-ESG asset manager with ~$1.9B AUM and distribution partnerships with Fidelity and Schwab [3]. Revenue grew 57% in 2025 to $5.73M, and the Bitcoin treasury pivot under CEO Matt Cole offers asymmetric upside if Bitcoin appreciates significantly — the company holds meaningful BTC on its balance sheet and trades at just 0.77x book value [1]. The Semler Scientific acquisition adds a revenue-generating healthcare business. Analyst consensus is 'Strong Buy' with a $16 mean price target (60% upside), and the anti-ESG/pro-Bitcoin positioning aligns with current political tailwinds [1].</w:t>
      </w:r>
    </w:p>
    <w:p>
      <w:pPr>
        <w:spacing w:after="120"/>
      </w:pPr>
      <w:r>
        <w:rPr>
          <w:rFonts w:ascii="Calibri" w:hAnsi="Calibri"/>
          <w:b w:val="0"/>
          <w:color w:val="3A4A28"/>
          <w:sz w:val="20"/>
        </w:rPr>
        <w:t>The bear case is substantial. Strive lost $424.9M in 2025 on just $5.73M in revenue, with the Bitcoin treasury strategy introducing extreme balance sheet volatility tied to BTC price [1]. The stock has collapsed 85.5% YTD and 96% from its 52-week high of $268 (pre-split adjusted), reflecting deep market skepticism. Short interest at 22.3% of float signals active bearish positioning. The company has only 28 employees and negligible operating revenue relative to its ambitions. The Bitcoin treasury playbook (following MicroStrategy) concentrates risk in a single volatile asset, and the founder's departure for politics raises governance concerns. A sustained Bitcoin downturn could render the company insolvent given its cash burn rate of $132M in free cash flow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directly increases book value and NAV per share, providing leveraged upside given the current 0.77x P/B discount [1]</w:t>
      </w:r>
    </w:p>
    <w:p>
      <w:pPr>
        <w:spacing w:before="40" w:after="40"/>
        <w:ind w:left="283"/>
      </w:pPr>
      <w:r>
        <w:rPr>
          <w:rFonts w:ascii="Calibri" w:hAnsi="Calibri"/>
          <w:b/>
          <w:color w:val="4A6B25"/>
          <w:sz w:val="20"/>
        </w:rPr>
        <w:t xml:space="preserve">2. </w:t>
      </w:r>
      <w:r>
        <w:rPr>
          <w:rFonts w:ascii="Calibri" w:hAnsi="Calibri"/>
          <w:b w:val="0"/>
          <w:color w:val="3A4A28"/>
          <w:sz w:val="20"/>
        </w:rPr>
        <w:t>Fidelity and Schwab direct indexing distribution partnership could accelerate AUM growth beyond the current $1.9B base [3]</w:t>
      </w:r>
    </w:p>
    <w:p>
      <w:pPr>
        <w:spacing w:before="40" w:after="40"/>
        <w:ind w:left="283"/>
      </w:pPr>
      <w:r>
        <w:rPr>
          <w:rFonts w:ascii="Calibri" w:hAnsi="Calibri"/>
          <w:b/>
          <w:color w:val="4A6B25"/>
          <w:sz w:val="20"/>
        </w:rPr>
        <w:t xml:space="preserve">3. </w:t>
      </w:r>
      <w:r>
        <w:rPr>
          <w:rFonts w:ascii="Calibri" w:hAnsi="Calibri"/>
          <w:b w:val="0"/>
          <w:color w:val="3A4A28"/>
          <w:sz w:val="20"/>
        </w:rPr>
        <w:t>Semler Scientific acquisition integration adds healthcare revenue stream and diversifies beyond pure Bitcoin/asset management exposure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decline could rapidly erode book value and trigger solvency concerns given -$132M annual free cash flow burn rate and only $67.5M cash [1]</w:t>
      </w:r>
    </w:p>
    <w:p>
      <w:pPr>
        <w:spacing w:before="40" w:after="40"/>
        <w:ind w:left="283"/>
      </w:pPr>
      <w:r>
        <w:rPr>
          <w:rFonts w:ascii="Calibri" w:hAnsi="Calibri"/>
          <w:b/>
          <w:color w:val="4A6B25"/>
          <w:sz w:val="20"/>
        </w:rPr>
        <w:t xml:space="preserve">2. </w:t>
      </w:r>
      <w:r>
        <w:rPr>
          <w:rFonts w:ascii="Calibri" w:hAnsi="Calibri"/>
          <w:b w:val="0"/>
          <w:color w:val="3A4A28"/>
          <w:sz w:val="20"/>
        </w:rPr>
        <w:t>22.3% short interest and 85.5% YTD stock decline reflect deep market skepticism about the Bitcoin treasury pivot's viability [1]</w:t>
      </w:r>
    </w:p>
    <w:p>
      <w:pPr>
        <w:spacing w:before="40" w:after="40"/>
        <w:ind w:left="283"/>
      </w:pPr>
      <w:r>
        <w:rPr>
          <w:rFonts w:ascii="Calibri" w:hAnsi="Calibri"/>
          <w:b/>
          <w:color w:val="4A6B25"/>
          <w:sz w:val="20"/>
        </w:rPr>
        <w:t xml:space="preserve">3. </w:t>
      </w:r>
      <w:r>
        <w:rPr>
          <w:rFonts w:ascii="Calibri" w:hAnsi="Calibri"/>
          <w:b w:val="0"/>
          <w:color w:val="3A4A28"/>
          <w:sz w:val="20"/>
        </w:rPr>
        <w:t>Founder Vivek Ramaswamy's departure and leadership instability — CEO Matt Cole has been in role only since September 2025, and the company has pivoted strategy twice in three years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Strive's core asset management business faces meaningful AI disruption risk as AI-powered robo-advisors, algorithmic trading, and automated portfolio management tools threaten traditional asset managers. McKinsey research highlights that AI could reshape the economics of the asset management industry by compressing fees and automating investment decisions [2]. Strive's ETF business is particularly vulnerable as passive index products are commoditized. The Bitcoin treasury pivot reduces some AI exposure since Bitcoin holdings are not substitutable by AI, but the advisory revenue stream remains exposed. AI Opportunity (1/1): Strive's CEO Matt Cole has actively advocated for Bitcoin as a hedge against AI disruption risk at portfolio companies, demonstrating strategic AI awareness, though Strive does not generate direct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ASST (Strive Asset Management),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Strive Asset Management company website and leadership page — strive.com,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Bloomberg, Morningstar Direct, InvestmentNews — Strive anti-ESG asset management coverage, 2025-2026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Strive Asset Management revenue history 2023-2025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