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ASX</w:t>
      </w:r>
      <w:r>
        <w:rPr>
          <w:rFonts w:ascii="Calibri" w:hAnsi="Calibri"/>
          <w:b/>
          <w:color w:val="1A2010"/>
          <w:sz w:val="40"/>
        </w:rPr>
        <w:t xml:space="preserve">  ASE Technology Holding Co., Ltd.</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Taiwan</w:t>
      </w:r>
    </w:p>
    <w:p>
      <w:pPr>
        <w:spacing w:after="80"/>
      </w:pPr>
      <w:r>
        <w:rPr>
          <w:rFonts w:ascii="Calibri" w:hAnsi="Calibri"/>
          <w:b w:val="0"/>
          <w:color w:val="3A4A28"/>
          <w:sz w:val="20"/>
        </w:rPr>
        <w:t>ASE Technology is the world's largest outsourced semiconductor assembly and test (OSAT) provider. The company offers semiconductor packaging, testing, and electronic manufacturing services across computing, communications, industrial, automotive, and server applications. ASE leads in advanced packaging technologies including 2.5D/3D, fan-out, and system-in-package (SiP) solutions critical for AI and high-performance computing.</w:t>
      </w:r>
    </w:p>
    <w:p>
      <w:r>
        <w:rPr>
          <w:rFonts w:ascii="Calibri" w:hAnsi="Calibri"/>
          <w:b/>
          <w:color w:val="6E8450"/>
          <w:sz w:val="18"/>
        </w:rPr>
        <w:t>105,955 Employees · https://www.aseglobal.com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ASE's LEAP (Leading-Edge Advanced Packaging) revenue surged from $0.6B in 2024 to $1.6B in 2025 (167% YoY), with management guiding LEAP to at least double to ~$3.2B in 2026 [1]. ATM full-year revenue increased ~19% in 2025, with test revenue up 32% YoY [1]. AI Deployment (1/2): ASE has deployed AI-powered ultrafiltration systems at its Kaohsiung facility saving 365,000 cubic meters of water annually, and established a 5G mmWave Smart Factory, but AI deployment is primarily internal rather than customer-facing [2]. Market Share (2/2): ASE is the undisputed global leader in OSAT with the broadest technology portfolio in advanced packaging, heterogeneous integration, and SiP solutions — critical enablers for the AI chip ecosystem [1][2]. Pipeline (1/2): Full-process LEAP expected to triple to ~10% of LEAP revenue in 2026; $4.9B CapEx planned with two-thirds for LEAP, demonstrating strong pipeline investment [1]. R&amp;D Intensity (1/1): $1.9B in 2024 CapEx with &gt;65% directed to advanced packaging R&amp;D, well above OSAT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ASE's sustainability framework — Low Carbon, Circular, Inclusive, Collaborative — provides a clear organizing purpose, but it functions more as a CSR overlay than a driving Just Cause. The company's core mission is operational excellence in semiconductor services, which is functional but not transformative [3]. Community Impact (1/2): ASE invested NT$750M to build Taiwan's first 20,000-ton-per-day water recycling plant after the 2013 wastewater scandal, and has expanded sustainability programs, but these are remediation-driven rather than proactive community investment [3]. Employee Retention (1/2): Management team average tenure of 7.8 years indicates leadership stability, and founder Jason Chang has led since 1984, but Glassdoor ratings for ASE Global are poor at 1.9/5 with only 25% recommending to a friend [2]. Insider Buying (1/2): Jason Chang maintains significant equity exposure as founder-chairman since 1984, providing alignment, though no recent net insider buying data is publicly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ASE demonstrates a solid financial profile anchored by its market-leading OSAT position. D/E of 70.6% sits right at target (score 1.0) [4]. ROE of 11.6% is below the 15% target but respectable for a capital-intensive packaging business (score 0.78) [4]. Forward P/E of 17.9x is attractive at below 20x target (score 1.0), reflecting reasonable valuation for a company with 28.9% forecast EPS growth [1]. Revenue growth of 9.6% YoY narrowly misses the 10% target (score 0.99) [4]. Profit margin of 6.3% is compressed due to EMS segment dilution (score 0.32) [4]. 5yr revenue CAGR is weak at approximately -1.3% due to 2022 cycle peak distortion (score 0.25). Liquidity floor easily cleared: 7.8M avg volume × $21.50 = $168M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ASE Technology under founder Jason Chang has built a 40-year company that has weathered multiple semiconductor cycles, demonstrating endurance. However, the 2013 pollution scandal and poor employee satisfaction scores reveal gaps in stakeholder trust that undermine infinite game credentials. The company's massive investment in LEAP and advanced packaging shows willingness to invest in the future, but the motivation appears more market-driven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ASE's sustainability pillars (Low Carbon, Circular, Inclusive, Collaborative) read as corporate framework rather than a genuine Just Cause in Sinek's definition. The company exists to provide semiconductor packaging services — an essential function but not an idealistic vision of a better future. Jason Chang's original vision of making Taiwan an IC manufacturing hub was prescient but is now realized rather than aspirational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stability with 7.8-year average tenure and founder continuity since 1984 suggest leadership trust. However, Glassdoor ratings of 1.9/5 for ASE Global with only 25% recommendation rate and complaints about low pay, midnight work requirements, and lack of growth indicate significant gaps in employee trust at operational levels [2]. The mixed signals suggest trust exists at senior levels but not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ASE operates in a competitive landscape with Amkor, JCET, and foundry in-sourcing from TSMC and Samsung. The company's massive CapEx investment in LEAP ($4.9B in 2026) and technology diversification across advanced packaging methods suggest a competitive approach focused on self-improvement and maintaining technology leadership rather than simply trying to undercut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ASE has evolved from traditional wire bonding to advanced packaging (2.5D/3D, fan-out, SiP, heterogeneous integration), representing meaningful but incremental adaptation to semiconductor industry trends. The LEAP pivot to AI-focused advanced packaging is significant but follows market demand rather than proactively redefining the company. The 2018 merger with SPIL showed strategic flexibility in consolidation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ASE's commitment to $4.9B in 2026 CapEx — with two-thirds directed at LEAP advanced packaging — demonstrates willingness to invest heavily in the future during a period of semiconductor uncertainty [1]. The NT$750M water recycling plant investment after the pollution scandal showed some accountability. However, the company's response to the 2013 K7 scandal — initially denying intentional pollution — undermines the courage narrative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ASE Technology is the world's largest OSAT provider riding the AI advanced packaging wave. LEAP revenue surged 167% to $1.6B in 2025 and is guided to double to $3.2B in 2026, driven by insatiable demand for 2.5D/3D packaging, HBM integration, and heterogeneous integration for AI accelerators [1]. ATM revenue grew 19% in 2025 with testing up 32% YoY, and January 2026 revenue of $1.91B was up 21.3% YoY [1]. At a forward P/E of 17.9x with EPS forecast to grow 28.9% annually, ASX offers attractive valuation for a company at the epicenter of AI semiconductor infrastructure [4]. The $4.9B CapEx plan for 2026 positions ASE to capture the next wave of AI chip packaging demand.</w:t>
      </w:r>
    </w:p>
    <w:p>
      <w:pPr>
        <w:spacing w:after="120"/>
      </w:pPr>
      <w:r>
        <w:rPr>
          <w:rFonts w:ascii="Calibri" w:hAnsi="Calibri"/>
          <w:b w:val="0"/>
          <w:color w:val="3A4A28"/>
          <w:sz w:val="20"/>
        </w:rPr>
        <w:t>The bear case centers on structural margin compression and competitive risk. Profit margins of just 6.3% reflect the low-margin EMS segment that dilutes the higher-margin ATM business [4]. D/E of 70.6% and aggressive CapEx create financial leverage risk if the AI packaging cycle decelerates. Competition from foundry in-sourcing (TSMC's CoWoS, Samsung's I-Cube) threatens to capture the highest-value advanced packaging work in-house, potentially leaving ASE with lower-margin overflow demand. The 5yr revenue CAGR of approximately -1.3% reflects semiconductor cyclicality that could repeat. The 2013 environmental pollution scandal and ongoing poor Glassdoor ratings (1.9/5) represent governance and cultural risks that could impair long-term talent acquisition and retention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LEAP revenue doubling to ~$3.2B in 2026 (75% packaging / 25% testing) as AI chip advanced packaging demand accelerates [1]</w:t>
      </w:r>
    </w:p>
    <w:p>
      <w:pPr>
        <w:spacing w:before="40" w:after="40"/>
        <w:ind w:left="283"/>
      </w:pPr>
      <w:r>
        <w:rPr>
          <w:rFonts w:ascii="Calibri" w:hAnsi="Calibri"/>
          <w:b/>
          <w:color w:val="4A6B25"/>
          <w:sz w:val="20"/>
        </w:rPr>
        <w:t xml:space="preserve">2. </w:t>
      </w:r>
      <w:r>
        <w:rPr>
          <w:rFonts w:ascii="Calibri" w:hAnsi="Calibri"/>
          <w:b w:val="0"/>
          <w:color w:val="3A4A28"/>
          <w:sz w:val="20"/>
        </w:rPr>
        <w:t>ATM gross margin improvement guided every quarter in 2026 with H2 reaching the upper end of structural range, plus ~100bps ATM opex ratio decline [1]</w:t>
      </w:r>
    </w:p>
    <w:p>
      <w:pPr>
        <w:spacing w:before="40" w:after="40"/>
        <w:ind w:left="283"/>
      </w:pPr>
      <w:r>
        <w:rPr>
          <w:rFonts w:ascii="Calibri" w:hAnsi="Calibri"/>
          <w:b/>
          <w:color w:val="4A6B25"/>
          <w:sz w:val="20"/>
        </w:rPr>
        <w:t xml:space="preserve">3. </w:t>
      </w:r>
      <w:r>
        <w:rPr>
          <w:rFonts w:ascii="Calibri" w:hAnsi="Calibri"/>
          <w:b w:val="0"/>
          <w:color w:val="3A4A28"/>
          <w:sz w:val="20"/>
        </w:rPr>
        <w:t>Full-process LEAP tripling to ~10% of LEAP revenue in 2026 with wafer-sort and final-test contributions ramping, expanding ASE's value capture per AI chip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Foundry in-sourcing by TSMC (CoWoS) and Samsung threatens to capture the highest-value advanced packaging work, potentially relegating ASE to overflow capacity [2]</w:t>
      </w:r>
    </w:p>
    <w:p>
      <w:pPr>
        <w:spacing w:before="40" w:after="40"/>
        <w:ind w:left="283"/>
      </w:pPr>
      <w:r>
        <w:rPr>
          <w:rFonts w:ascii="Calibri" w:hAnsi="Calibri"/>
          <w:b/>
          <w:color w:val="4A6B25"/>
          <w:sz w:val="20"/>
        </w:rPr>
        <w:t xml:space="preserve">2. </w:t>
      </w:r>
      <w:r>
        <w:rPr>
          <w:rFonts w:ascii="Calibri" w:hAnsi="Calibri"/>
          <w:b w:val="0"/>
          <w:color w:val="3A4A28"/>
          <w:sz w:val="20"/>
        </w:rPr>
        <w:t>Profit margin compression from EMS segment (6.3% net margin) and aggressive $4.9B CapEx create financial risk if AI packaging demand decelerates [4]</w:t>
      </w:r>
    </w:p>
    <w:p>
      <w:pPr>
        <w:spacing w:before="40" w:after="40"/>
        <w:ind w:left="283"/>
      </w:pPr>
      <w:r>
        <w:rPr>
          <w:rFonts w:ascii="Calibri" w:hAnsi="Calibri"/>
          <w:b/>
          <w:color w:val="4A6B25"/>
          <w:sz w:val="20"/>
        </w:rPr>
        <w:t xml:space="preserve">3. </w:t>
      </w:r>
      <w:r>
        <w:rPr>
          <w:rFonts w:ascii="Calibri" w:hAnsi="Calibri"/>
          <w:b w:val="0"/>
          <w:color w:val="3A4A28"/>
          <w:sz w:val="20"/>
        </w:rPr>
        <w:t>Environmental governance concerns from the 2013 K7 wastewater scandal (labeled 'serial polluter') and poor employee satisfaction (Glassdoor 1.9/5) may impair talent acquisition and ESG-conscious investor interest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ASE Technology is a direct beneficiary of the AI boom — its advanced packaging solutions (2.5D/3D, SiP, heterogeneous integration) are essential physical infrastructure for AI chips that AI itself cannot replace [1]. LEAP revenue is doubling annually as AI chip demand accelerates, and CapEx of $4.9B in 2026 (two-thirds for LEAP) positions ASE as a critical enabler in the AI supply chain [1]. Semiconductor packaging requires massive physical manufacturing infrastructure with extreme precision that is inherently resistant to AI substitution. The primary risk is competitive — foundry in-sourcing by TSMC and Samsung could pressure OSAT share, but ASE's scale and technology breadth provide meaningful barriers [2]. AI Opportunity (1/1): LEAP revenue of $1.6B in 2025 growing to $3.2B in 2026 represents direct, quantifiable AI-driven revenue, with advanced packaging for AI accelerators, HBM integration, and co-packaged optics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ASE Technology Q4 2025 Earnings Conference Call — LEAP revenue guidance, ATM performance, CapEx plans, Q1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ASE Technology corporate filings, Glassdoor reviews, Craft.co executive data, and analyst coverage — leadership, culture, AI strategy,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EE Times, Taipei Times, Focus Taiwan — ASE K7 wastewater pollution scandal, environmental violations history, ESG remediation efforts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ASX (ASE Technology Holding),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