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ATAT</w:t>
      </w:r>
      <w:r>
        <w:rPr>
          <w:rFonts w:ascii="Calibri" w:hAnsi="Calibri"/>
          <w:b/>
          <w:color w:val="1A2010"/>
          <w:sz w:val="40"/>
        </w:rPr>
        <w:t xml:space="preserve">  Atour Lifestyle Holdings Limited</w:t>
      </w:r>
    </w:p>
    <w:p>
      <w:pPr>
        <w:spacing w:after="120"/>
      </w:pPr>
      <w:r>
        <w:rPr>
          <w:rFonts w:ascii="Calibri" w:hAnsi="Calibri"/>
          <w:b/>
          <w:color w:val="6E8450"/>
          <w:sz w:val="18"/>
        </w:rPr>
        <w:t>GROWTH SLEEVE · 2026-04-01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NASDAQ · China</w:t>
      </w:r>
    </w:p>
    <w:p>
      <w:pPr>
        <w:spacing w:after="80"/>
      </w:pPr>
      <w:r>
        <w:rPr>
          <w:rFonts w:ascii="Calibri" w:hAnsi="Calibri"/>
          <w:b w:val="0"/>
          <w:color w:val="3A4A28"/>
          <w:sz w:val="20"/>
        </w:rPr>
        <w:t>Atour Lifestyle Holdings is the largest upper midscale hotel chain in China by room count, operating 2,015 hotels with 224,423 rooms across 209+ cities as of December 2025. Founded in 2013 by hospitality veteran Haijun Wang, the company combines hotel management with a fast-growing retail business selling lifestyle products through its hotel ecosystem. Listed on NASDAQ in 2021.</w:t>
      </w:r>
    </w:p>
    <w:p>
      <w:r>
        <w:rPr>
          <w:rFonts w:ascii="Calibri" w:hAnsi="Calibri"/>
          <w:b/>
          <w:color w:val="6E8450"/>
          <w:sz w:val="18"/>
        </w:rPr>
        <w:t>8,000 Employees · https://ir.yaduo.com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Atour has scaled from a startup to China's largest upper midscale hotel chain in 12 years, growing from ~500 hotels in 2020 to 2,015 hotels by end of 2025 [1]. The retail business is a genuine innovation — leveraging hotel stays as a product discovery channel generated RMB 3.7B in retail revenue (67% YoY growth), a business model unique among global hotel chains [1]. AI Deployment (1/2): Atour has deployed digital guest journey tools, smart room technology, and data-driven revenue management systems across its network, though these are operational efficiency tools rather than frontier AI products [2]. Market Share (2/2): Atour is the #1 upper midscale hotel chain in China by room count per Frost &amp; Sullivan, gaining share rapidly with 24.5% YoY hotel count growth and commanding premium ADRs in its segment [1]. Pipeline (1/2): Management guided for similar-scale openings in 2026 as 2025, with 20-24% revenue growth guidance and continued expansion into core city commercial areas [1]. R&amp;D Intensity (1/1): Above-average investment in product innovation, digital platforms, and retail product development relative to Chinese hospitality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Atour's mission to deliver a 'Chinese Experience' through lifestyle hospitality that blends cultural authenticity with personalized service is specific, thoughtful, and clearly differentiates from global hotel chains and domestic budget competitors [2]. The new three-year 'Chinese Experience, Brand-Led Excellence' strategic plan shows leadership actively shapes strategy around this purpose. Community Impact (1/2): Atour has implemented eco-friendly measures including biodegradable products, natural cotton bedding, and water-saving innovations (12.67 tons saved per room annually), though community investment programs are modest compared to global peers [3]. Employee Retention (1/2): Founder-CEO Haijun Wang has led for 13 years with stable senior leadership, and the company emphasizes its people-first culture, though specific turnover or tenure data is not publicly disclosed [2]. Insider Buying (1/2): CEO Wang holds 17.85% of shares ($878M) representing substantial skin in the game, and the company committed $400M to a three-year buyback program plus $108M in 2025 dividends, signaling leadership conviction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Atour's financial profile is outstanding across nearly every metric. D/E of 42.6% is well below the 70% target, reflecting conservative leverage [5]. ROE of 49.7% is exceptional — more than 3x the 15% target — driven by the asset-light franchise model [5]. Revenue growth of 33.8% YoY and 46.1% 4yr CAGR dramatically exceed targets, powered by both hotel network expansion and the retail business [1]. Forward P/E of 14.2x is well below 20x, and Forward PEG of 0.26 (based on 54% forward EPS growth) indicates significant undervaluation relative to growth [5]. Profit margin of 16.6% is slightly below the 20% target (scoring 0.83), the only metric not at maximum — reflecting the lower-margin retail mix shift. Adjusted EBITDA margin of 25.3% (up from prior year) shows underlying profitability improving [1]. Liquidity floor cleared: 1.19M avg volume x $36.76 = $43.7M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Atour demonstrates mixed infinite game characteristics — founder-CEO Wang's 13-year tenure and consistent vision of 'Chinese Experience' hospitality show genuine long-term thinking, but the company is still young (founded 2013) and has not yet been tested through a major crisis or leadership transition. The rapid expansion pace raises questions about whether growth is being prioritized over the long-term brand quality that defines the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Atour's cause — to redefine Chinese hospitality through culturally authentic lifestyle experiences — is genuine and partially validated by 12 years of consistent execution and market leadership [2]. The 'Chinese Experience, Brand-Led Excellence' strategic plan shows the cause shapes strategy. However, the company is too young to have proven the cause survives crisis or leadership transition, and the aggressive hotel opening pace (500+ per year) raises questions about whether scale is being prioritized over experience quality.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Wang has maintained stable senior leadership for 13 years, and the company emphasizes its people-first culture with a dedicated Chief People Officer [2]. However, specific evidence of exceptional organizational trust — long tenure data, low turnover rates, or employee empowerment stories — is not publicly available. The rapid franchise expansion model inherently creates delegation and trust in franchisee operators.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Atour positions itself against global chains (Marriott, Hilton) by emphasizing differentiation through Chinese cultural experience rather than competing head-to-head on scale or price [2]. Management acknowledges that global brands' operational systems push Atour to improve its own standards, reflecting an improvement-oriented rather than destruction-oriented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Atour's expansion from pure hotel management into retail represents meaningful business model evolution — the retail segment grew 67% YoY to RMB 3.7B in 2025 and is becoming a significant revenue driver [1]. This hotel-as-retail-channel innovation is incrementally transformative. However, the company has not faced a test requiring abandonment of a core business — it has only known growth since founding.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Atour has executed well, there is no clear evidence of leadership making costly long-term bets that sacrificed near-term results. The company has grown continuously since founding, with each strategic move (retail expansion, new hotel formats) being additive rather than requiring sacrifice [1]. The decision to close 92 hotels in 2025 for quality optimization shows some discipline, but the simultaneous aggressive opening pace suggests growth remains the primary orientation.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Atour is China's fastest-growing upper midscale hotel chain, delivering 35.1% revenue growth to RMB 9.8B in 2025 with 49.7% ROE and a highly capital-efficient franchise model [1]. The retail innovation — using hotels as product discovery channels — generated RMB 3.7B (67% YoY growth) and represents a differentiated revenue stream with no global hotel peer comparison [1]. At 14.2x forward P/E with 20-24% 2026 revenue guidance, the stock is priced for mid-teens growth while delivering 30%+ top-line expansion. BofA maintains a Buy rating with a $47 price target, implying 28% upside [1]. The $400M buyback authorization and growing dividend ($108M in 2025) demonstrate shareholder return commitment, while founder-CEO Wang's $878M equity stake ensures alignment.</w:t>
      </w:r>
    </w:p>
    <w:p>
      <w:pPr>
        <w:spacing w:after="120"/>
      </w:pPr>
      <w:r>
        <w:rPr>
          <w:rFonts w:ascii="Calibri" w:hAnsi="Calibri"/>
          <w:b w:val="0"/>
          <w:color w:val="3A4A28"/>
          <w:sz w:val="20"/>
        </w:rPr>
        <w:t>The bear case centers on China macro risk and governance structure. As a Cayman Islands holding company with all operations in PRC, Atour carries VIE structure risk — investors own shares in a holding company, not the operating businesses directly [3]. Chinese government regulatory actions (cybersecurity reviews, VIE crackdowns) could impair the stock regardless of operating performance. The controlled-company governance exemption means shareholders lack standard protections [3]. Operationally, the aggressive hotel opening pace (2,015 hotels, 24.5% YoY growth) raises execution risk — maintaining brand quality while rapidly expanding a franchise network is the central challenge for upper midscale hospitality. Profit margin of 16.6% is below peers like Marriott or Hilton, and management guided for margin pressure in 2026 from increased G&amp;A and R&amp;D spending [1]. The retail business, while innovative, faces intense competition from Chinese e-commerce platforms (Alibaba, PDD) that could limit long-term margin expansion. China's economic slowdown could pressure RevPAR and franchise unit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Retail business scaling to 25-30% growth in 2026, potentially reaching RMB 4.6-4.8B and becoming a platform-level revenue stream that differentiates Atour from pure hotel peers [1]</w:t>
      </w:r>
    </w:p>
    <w:p>
      <w:pPr>
        <w:spacing w:before="40" w:after="40"/>
        <w:ind w:left="283"/>
      </w:pPr>
      <w:r>
        <w:rPr>
          <w:rFonts w:ascii="Calibri" w:hAnsi="Calibri"/>
          <w:b/>
          <w:color w:val="4A6B25"/>
          <w:sz w:val="20"/>
        </w:rPr>
        <w:t xml:space="preserve">2. </w:t>
      </w:r>
      <w:r>
        <w:rPr>
          <w:rFonts w:ascii="Calibri" w:hAnsi="Calibri"/>
          <w:b w:val="0"/>
          <w:color w:val="3A4A28"/>
          <w:sz w:val="20"/>
        </w:rPr>
        <w:t>Continued hotel network expansion with 20-24% revenue growth guidance for 2026, driving franchise fee and management fee compounding across 2,000+ properties [1]</w:t>
      </w:r>
    </w:p>
    <w:p>
      <w:pPr>
        <w:spacing w:before="40" w:after="40"/>
        <w:ind w:left="283"/>
      </w:pPr>
      <w:r>
        <w:rPr>
          <w:rFonts w:ascii="Calibri" w:hAnsi="Calibri"/>
          <w:b/>
          <w:color w:val="4A6B25"/>
          <w:sz w:val="20"/>
        </w:rPr>
        <w:t xml:space="preserve">3. </w:t>
      </w:r>
      <w:r>
        <w:rPr>
          <w:rFonts w:ascii="Calibri" w:hAnsi="Calibri"/>
          <w:b w:val="0"/>
          <w:color w:val="3A4A28"/>
          <w:sz w:val="20"/>
        </w:rPr>
        <w:t>$400M share buyback authorization providing price support and signaling management confidence in intrinsic value above current market price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regulatory and VIE structure risk — government actions on data security, foreign listings, or variable interest entity structures could materially impair share value regardless of operating performance [3]</w:t>
      </w:r>
    </w:p>
    <w:p>
      <w:pPr>
        <w:spacing w:before="40" w:after="40"/>
        <w:ind w:left="283"/>
      </w:pPr>
      <w:r>
        <w:rPr>
          <w:rFonts w:ascii="Calibri" w:hAnsi="Calibri"/>
          <w:b/>
          <w:color w:val="4A6B25"/>
          <w:sz w:val="20"/>
        </w:rPr>
        <w:t xml:space="preserve">2. </w:t>
      </w:r>
      <w:r>
        <w:rPr>
          <w:rFonts w:ascii="Calibri" w:hAnsi="Calibri"/>
          <w:b w:val="0"/>
          <w:color w:val="3A4A28"/>
          <w:sz w:val="20"/>
        </w:rPr>
        <w:t>Brand dilution from aggressive expansion — opening 400+ hotels annually while maintaining upper midscale quality standards is the central execution challenge, and the 92 hotel closures in 2025 suggest quality issues are already emerging [1]</w:t>
      </w:r>
    </w:p>
    <w:p>
      <w:pPr>
        <w:spacing w:before="40" w:after="40"/>
        <w:ind w:left="283"/>
      </w:pPr>
      <w:r>
        <w:rPr>
          <w:rFonts w:ascii="Calibri" w:hAnsi="Calibri"/>
          <w:b/>
          <w:color w:val="4A6B25"/>
          <w:sz w:val="20"/>
        </w:rPr>
        <w:t xml:space="preserve">3. </w:t>
      </w:r>
      <w:r>
        <w:rPr>
          <w:rFonts w:ascii="Calibri" w:hAnsi="Calibri"/>
          <w:b w:val="0"/>
          <w:color w:val="3A4A28"/>
          <w:sz w:val="20"/>
        </w:rPr>
        <w:t>China macro headwinds — economic slowdown, consumer confidence weakness, and potential travel demand softening could pressure RevPAR and franchise profitability across the 2,000+ hotel network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Hotel operations are largely protected from AI disruption — the core business involves physical hospitality experiences, property management, and in-person guest services that AI cannot substitute [2]. However, Atour faces moderate AI exposure in its retail business (e-commerce competition from AI-driven recommendation engines and personalized shopping) and in revenue management (where AI tools could commoditize pricing optimization). The franchise model creates some protection since franchisees bear property risk. Online travel agencies could use AI to disintermediate hotel brands, but Atour's direct booking and loyalty ecosystem provides a defensive moat. AI Opportunity (1/1): Atour generates real operational value from AI through smart room technology, data-driven revenue management, and digital guest journey optimization across 2,015 hotels, representing measurable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Atour Lifestyle Q4/FY 2025 Earnings Release — RMB 9.79B revenue (35.1% growth), 2,015 hotels, 2026 guidance of 20-24% growth, March 2026</w:t>
      </w:r>
    </w:p>
    <w:p>
      <w:pPr>
        <w:spacing w:before="20" w:after="20"/>
        <w:ind w:left="170"/>
      </w:pPr>
      <w:r>
        <w:rPr>
          <w:rFonts w:ascii="Calibri" w:hAnsi="Calibri"/>
          <w:b/>
          <w:color w:val="4A6B25"/>
          <w:sz w:val="15"/>
        </w:rPr>
        <w:t xml:space="preserve">2. </w:t>
      </w:r>
      <w:r>
        <w:rPr>
          <w:rFonts w:ascii="Calibri" w:hAnsi="Calibri"/>
          <w:b w:val="0"/>
          <w:color w:val="3A4A28"/>
          <w:sz w:val="17"/>
        </w:rPr>
        <w:t>Atour Lifestyle Corporate Website and IR Materials — management bios, mission, 'Chinese Experience' strategy,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Atour Lifestyle 2024 ESG Report and SEC filings — VIE structure risks, controlled-company governance, environmental initiatives, April 2025</w:t>
      </w:r>
    </w:p>
    <w:p>
      <w:pPr>
        <w:spacing w:before="20" w:after="20"/>
        <w:ind w:left="170"/>
      </w:pPr>
      <w:r>
        <w:rPr>
          <w:rFonts w:ascii="Calibri" w:hAnsi="Calibri"/>
          <w:b/>
          <w:color w:val="4A6B25"/>
          <w:sz w:val="15"/>
        </w:rPr>
        <w:t xml:space="preserve">4. </w:t>
      </w:r>
      <w:r>
        <w:rPr>
          <w:rFonts w:ascii="Calibri" w:hAnsi="Calibri"/>
          <w:b w:val="0"/>
          <w:color w:val="3A4A28"/>
          <w:sz w:val="17"/>
        </w:rPr>
        <w:t>BofA Securities — Atour Lifestyle coverage, Buy rating, $47 price target, earnings estimate revisions,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ATAT (Atour Lifestyle Holdings),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