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ATCH</w:t>
      </w:r>
      <w:r>
        <w:rPr>
          <w:rFonts w:ascii="Calibri" w:hAnsi="Calibri"/>
          <w:b/>
          <w:color w:val="1A2010"/>
          <w:sz w:val="40"/>
        </w:rPr>
        <w:t xml:space="preserve">  AtlasClear Holdings, Inc.</w:t>
      </w:r>
    </w:p>
    <w:p>
      <w:pPr>
        <w:spacing w:after="120"/>
      </w:pPr>
      <w:r>
        <w:rPr>
          <w:rFonts w:ascii="Calibri" w:hAnsi="Calibri"/>
          <w:b/>
          <w:color w:val="6E8450"/>
          <w:sz w:val="18"/>
        </w:rPr>
        <w:t>GROWTH SLEEVE · 2026-04-01 · Inspire: 10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American · United States</w:t>
      </w:r>
    </w:p>
    <w:p>
      <w:pPr>
        <w:spacing w:after="80"/>
      </w:pPr>
      <w:r>
        <w:rPr>
          <w:rFonts w:ascii="Calibri" w:hAnsi="Calibri"/>
          <w:b w:val="0"/>
          <w:color w:val="3A4A28"/>
          <w:sz w:val="20"/>
        </w:rPr>
        <w:t>AtlasClear Holdings is a technology-enabled financial services firm operating a platform for trading, clearing, settlement, and banking of financial products through its Wilson-Davis &amp; Co. subsidiary. The company targets small and middle market financial services firms with fintech products including AtlasFX, SURFACExchange, and BondQuantum. AtlasClear emerged from a SPAC combination in February 2024.</w:t>
      </w:r>
    </w:p>
    <w:p>
      <w:r>
        <w:rPr>
          <w:rFonts w:ascii="Calibri" w:hAnsi="Calibri"/>
          <w:b/>
          <w:color w:val="6E8450"/>
          <w:sz w:val="18"/>
        </w:rPr>
        <w:t>https://www.atlasclear.com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AtlasClear emerged from a SPAC combination in February 2024 and has been operating in 'entirely defensive mode' due to limited capital and burdensome debt [1]. Revenue of $14.6M TTM from a clearing/settlement business is not evidence of innovation — Wilson-Davis is a legacy broker-dealer acquired for its clearing license. No meaningful new product launches or market pivots. AI Deployment (0/2): No AI products deployed or AI-driven revenue. The company's technology focus is on basic fintech infrastructure (online account opening, trade execution) rather than AI [2]. Market Share (1/2): Wilson-Davis secured Dawson James Securities as its first major correspondent clearing client in March 2026, and serves as a selling agent in at-the-market offerings, but this is nascent market participation in a commodity clearing business, not market leadership [1]. Pipeline (1/2): Planned bank acquisition (Commercial Bancorp of Wyoming, $500K net income on $1.9M revenue) and expansion of correspondent clearing, stock lending, and digital asset services provide some pipeline visibility, though scale is minimal [1]. R&amp;D Intensity (1/1): AtlasClear's cloud-based platform development and CTO Ilya Bogdanov's team building integrated clearing/banking infrastructure shows R&amp;D effort above typical micro-cap levels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AtlasClear's goal to 'create a more efficient platform for trading, clearing, settlement and banking' is purely commercial and functional — it describes a business plan, not a purpose [2]. There is no articulated vision of a better future beyond building a profitable fintech platform. Community Impact (0/2): No evidence of charitable giving, community investment, or social impact programs. The company employs an undisclosed number of people and is focused on survival and growth at this stage. Employee Retention (0/2): No employee retention data available for this micro-cap. Leadership team is relatively new, assembled since the 2024 SPAC combination [2]. Insider Buying (1/2): Executive Chairman John Schaible and President Craig Ridenhour have maintained significant equity positions since co-founding the predecessor entities, demonstrating personal financial commitment to the venture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 daily volume of 4,505,818 shares × stock price of $0.20 = $895,757 daily dollar volume, below the $1,000,000 liquidity floor [5]. Infrastructure score is automatically 0 regardless of other metrics. For reference, the underlying financials are micro-cap grade: revenue of $14.6M TTM, market cap of $29.8M, negative free cash flow (-$8.8M), negative operating cash flow (-$941K), and trailing EPS of -$31.58 [5]. The 84% revenue growth is from a tiny base ($2.7M to $5.1M quarterly). D/E of 70.6% is moderate, and total assets of $77.6M with $23.1M cash provide some balance sheet support. However, the stock is too illiquid for any institutional investor to trade meaningfully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AtlasClear is a SPAC-origin micro-cap in survival mode — the company has been 'hamstrung by limited capital and burdensome debt' and operating defensively since its 2024 formation. While the founding team's long-term vision for integrated clearing/banking infrastructure exists, the company lacks the resources, stability, and track record to demonstrate infinite game characteristics. The focus is on reaching profitability and operational viability,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AtlasClear exists to build a profitable fintech platform — there is no articulated vision of a better future beyond the company's commercial success. The purpose of 'creating a more efficient platform for trading, clearing, settlement and banking' is a business plan, not a Just Cause [2]. The company's short history (formed 2024) provides no track record of purpose-driven decision-making.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AtlasClear's leadership team was assembled through SPAC combination and subsequent hires — there is no evidence of established organizational trust, employee empowerment, or cultural cohesion [2]. The company does not disclose employee count. Leadership changes are frequent for a company this young.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AtlasClear's competitive positioning against Apex Clearing, Pershing, and other established clearing firms is framed in market capture terms ('compelling prime brokerage model') rather than learning from rivals' strengths [2]. The company is too small and too focused on survival to engage in the kind of competitive reflection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AtlasClear is too young and resource-constrained to have demonstrated strategic flexibility. The company has a single business model (clearing/settlement platform) and is executing its original SPAC thesis. No pivots or transformations have occurred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founding team's persistence through the post-SPAC capital constraints — converting $43M+ in legacy liabilities, restoring positive stockholders' equity, and continuing to invest in platform development despite near-zero resources — shows grit and willingness to endure short-term pain [1]. However, this is survival courage, not strategic courage in service of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AtlasClear reported 84% revenue growth in Q2 FY2026 ($5.1M vs $2.7M prior year) with net income of $6.8M (primarily from non-cash fair value adjustments) and restored positive stockholders' equity of $21.7M [1]. The company successfully converted $43M+ in legacy SPAC liabilities and secured Dawson James Securities as its first major correspondent clearing client [1]. Wilson-Davis posted October 2025 revenue of $3.05M (+113% YoY) and $940K net income (+169%), suggesting operational momentum. The planned Commercial Bancorp of Wyoming acquisition would add banking capabilities to the clearing platform, and management expects 'maximum operating leverage' in 2026 [1]. At a $29.8M market cap, any meaningful scaling of the clearing platform could drive outsized returns from a tiny base.</w:t>
      </w:r>
    </w:p>
    <w:p>
      <w:pPr>
        <w:spacing w:after="120"/>
      </w:pPr>
      <w:r>
        <w:rPr>
          <w:rFonts w:ascii="Calibri" w:hAnsi="Calibri"/>
          <w:b w:val="0"/>
          <w:color w:val="3A4A28"/>
          <w:sz w:val="20"/>
        </w:rPr>
        <w:t>The bear case is severe for this micro-cap SPAC remnant. The stock trades at $0.20 with $896K daily dollar volume — failing the IOWN liquidity floor and rendering it uninvestable for any institutional portfolio [5]. Revenue of $14.6M TTM generates negative free cash flow (-$8.8M) and the 84% growth is from an immaterial $2.7M base [1]. The $6.8M Q2 'net income' was driven by non-cash fair value adjustments, not operating profit. The company acknowledged operating in 'entirely defensive mode' due to capital constraints [1]. No forward PE is available because consensus doesn't cover this stock. Governance risks include the SPAC origin, leadership assembled from predecessor entities (AtlasBanc, Atlas FinTech, Quantum FinTech), and micro-cap vulnerability to sudden liquidity-driven price swings — the stock plunged 26% in a single session with no public catalyst [2]. The planned bank acquisition (Commercial Bancorp with $1.9M revenue) is immaterial. Delisting risk on NYSE American remains a concern for a sub-$1 stock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Dawson James Securities integration on Wilson-Davis clearing platform succeeding and attracting additional introducing broker relationships, demonstrating multi-client scalability [1]</w:t>
      </w:r>
    </w:p>
    <w:p>
      <w:pPr>
        <w:spacing w:before="40" w:after="40"/>
        <w:ind w:left="283"/>
      </w:pPr>
      <w:r>
        <w:rPr>
          <w:rFonts w:ascii="Calibri" w:hAnsi="Calibri"/>
          <w:b/>
          <w:color w:val="4A6B25"/>
          <w:sz w:val="20"/>
        </w:rPr>
        <w:t xml:space="preserve">2. </w:t>
      </w:r>
      <w:r>
        <w:rPr>
          <w:rFonts w:ascii="Calibri" w:hAnsi="Calibri"/>
          <w:b w:val="0"/>
          <w:color w:val="3A4A28"/>
          <w:sz w:val="20"/>
        </w:rPr>
        <w:t>Commercial Bancorp of Wyoming acquisition closing and providing immediately accretive banking revenue alongside the clearing platform [1]</w:t>
      </w:r>
    </w:p>
    <w:p>
      <w:pPr>
        <w:spacing w:before="40" w:after="40"/>
        <w:ind w:left="283"/>
      </w:pPr>
      <w:r>
        <w:rPr>
          <w:rFonts w:ascii="Calibri" w:hAnsi="Calibri"/>
          <w:b/>
          <w:color w:val="4A6B25"/>
          <w:sz w:val="20"/>
        </w:rPr>
        <w:t xml:space="preserve">3. </w:t>
      </w:r>
      <w:r>
        <w:rPr>
          <w:rFonts w:ascii="Calibri" w:hAnsi="Calibri"/>
          <w:b w:val="0"/>
          <w:color w:val="3A4A28"/>
          <w:sz w:val="20"/>
        </w:rPr>
        <w:t>Stock price recovery above $1.00 removing NYSE American delisting overhang and opening the stock to institutional investors and index inclusion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Sub-$1 stock price creating NYSE American delisting risk — failure to regain compliance could force a move to OTC markets, destroying remaining institutional credibility and liquidity [5]</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 $896K daily dollar volume fails the IOWN liquidity floor, making position entry and exit impractical and exposing investors to extreme spread and slippage risk [5]</w:t>
      </w:r>
    </w:p>
    <w:p>
      <w:pPr>
        <w:spacing w:before="40" w:after="40"/>
        <w:ind w:left="283"/>
      </w:pPr>
      <w:r>
        <w:rPr>
          <w:rFonts w:ascii="Calibri" w:hAnsi="Calibri"/>
          <w:b/>
          <w:color w:val="4A6B25"/>
          <w:sz w:val="20"/>
        </w:rPr>
        <w:t xml:space="preserve">3. </w:t>
      </w:r>
      <w:r>
        <w:rPr>
          <w:rFonts w:ascii="Calibri" w:hAnsi="Calibri"/>
          <w:b w:val="0"/>
          <w:color w:val="3A4A28"/>
          <w:sz w:val="20"/>
        </w:rPr>
        <w:t>SPAC-origin governance risk — leadership assembled from predecessor entities with limited public company operating track record, and the company has been in 'defensive mode' since formation with negative operating cash flow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AtlasClear's clearing and settlement business has moderate AI exposure. While the physical infrastructure of regulated clearing (DTCC membership, SEC compliance, customer funds segregation) provides some moat, AI-powered fintech platforms are increasingly automating trade execution, clearing workflows, and compliance monitoring [2]. Large incumbents like Apex Clearing and Pershing have resources to deploy AI at scale, potentially commoditizing the clearing services AtlasClear offers to smaller firms. The regulatory complexity of broker-dealer operations provides some protection, but the company's small scale makes it vulnerable to AI-enabled competitors who can offer lower-cost clearing. AI Opportunity (1/1): AtlasClear's planned fintech platform integration (AtlasFX, SURFACExchange, BondQuantum) could incorporate AI features, and the digital asset services initiative positions the company adjacent to AI-adjacent crypto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AtlasClear Holdings Q2 FY2026 Earnings Release — $5.1M revenue (84% growth), $6.8M net income, $21.7M stockholders' equity, Dawson James integration,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AtlasClear Holdings corporate website, investor relations — leadership team, fintech platform description, 2026 strategic priorities, Clearing the View investor series</w:t>
      </w:r>
    </w:p>
    <w:p>
      <w:pPr>
        <w:spacing w:before="20" w:after="20"/>
        <w:ind w:left="170"/>
      </w:pPr>
      <w:r>
        <w:rPr>
          <w:rFonts w:ascii="Calibri" w:hAnsi="Calibri"/>
          <w:b/>
          <w:color w:val="4A6B25"/>
          <w:sz w:val="15"/>
        </w:rPr>
        <w:t xml:space="preserve">3. </w:t>
      </w:r>
      <w:r>
        <w:rPr>
          <w:rFonts w:ascii="Calibri" w:hAnsi="Calibri"/>
          <w:b w:val="0"/>
          <w:color w:val="3A4A28"/>
          <w:sz w:val="17"/>
        </w:rPr>
        <w:t>ainvest.com — ATCH 26% single-day drop analysis, micro-cap governance risk, liquidity vulnerability assessment</w:t>
      </w:r>
    </w:p>
    <w:p>
      <w:pPr>
        <w:spacing w:before="20" w:after="20"/>
        <w:ind w:left="170"/>
      </w:pPr>
      <w:r>
        <w:rPr>
          <w:rFonts w:ascii="Calibri" w:hAnsi="Calibri"/>
          <w:b/>
          <w:color w:val="4A6B25"/>
          <w:sz w:val="15"/>
        </w:rPr>
        <w:t xml:space="preserve">4. </w:t>
      </w:r>
      <w:r>
        <w:rPr>
          <w:rFonts w:ascii="Calibri" w:hAnsi="Calibri"/>
          <w:b w:val="0"/>
          <w:color w:val="3A4A28"/>
          <w:sz w:val="17"/>
        </w:rPr>
        <w:t>SEC Filings — AtlasClear 10-K, S-1 registration statement, SPAC combination details, Wilson-Davis subsidiary financials</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ATCH (AtlasClear Holdings),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