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ATI</w:t>
      </w:r>
      <w:r>
        <w:rPr>
          <w:rFonts w:ascii="Calibri" w:hAnsi="Calibri"/>
          <w:b/>
          <w:color w:val="1A2010"/>
          <w:sz w:val="40"/>
        </w:rPr>
        <w:t xml:space="preserve">  ATI Inc.</w:t>
      </w:r>
    </w:p>
    <w:p>
      <w:pPr>
        <w:spacing w:after="120"/>
      </w:pPr>
      <w:r>
        <w:rPr>
          <w:rFonts w:ascii="Calibri" w:hAnsi="Calibri"/>
          <w:b/>
          <w:color w:val="6E8450"/>
          <w:sz w:val="18"/>
        </w:rPr>
        <w:t>GROWTH SLEEVE · 2026-04-20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Metal Fabrication · NYSE · United States</w:t>
      </w:r>
    </w:p>
    <w:p>
      <w:pPr>
        <w:spacing w:after="80"/>
      </w:pPr>
      <w:r>
        <w:rPr>
          <w:rFonts w:ascii="Calibri" w:hAnsi="Calibri"/>
          <w:b w:val="0"/>
          <w:color w:val="3A4A28"/>
          <w:sz w:val="20"/>
        </w:rPr>
        <w:t>ATI Inc. produces and sells specialty materials and complex components for aerospace, defense, medical, and energy markets worldwide. The company operates through High Performance Materials &amp; Components and Advanced Alloys &amp; Solutions segments, specializing in titanium alloys, nickel-based superalloys, and advanced stainless steels used in jet engines, airframes, missiles, and medical devices.</w:t>
      </w:r>
    </w:p>
    <w:p>
      <w:r>
        <w:rPr>
          <w:rFonts w:ascii="Calibri" w:hAnsi="Calibri"/>
          <w:b/>
          <w:color w:val="6E8450"/>
          <w:sz w:val="18"/>
        </w:rPr>
        <w:t>7,600 Employees · https://www.atimaterials.com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ATI has successfully pivoted its revenue mix toward high-value aerospace and defense applications, growing A&amp;D from 62% of revenue in 2024 to 68% in 2025 with jet engine sales up 21% and missiles revenue surging 127% YoY — a strategic repositioning away from commodity metals [1][2]. AI Deployment (1/2): ATI's digital transformation integrates AI for predictive maintenance and yield optimization across manufacturing operations, though specific cost savings have not been publicly quantified [3]. Market Share (2/2): ATI is one of only two domestic producers of titanium sponge (with TIMET/PCC), giving it effective oligopoly positioning in the U.S. aerospace titanium supply chain — a position reinforced by $1.2B in long-term aerospace and defense sales commitments [1][4]. Pipeline (1/2): Expansion projects in isothermal forging and specialty alloy capacity are underway to meet growing jet engine demand, with 2026 guidance calling for mid-teens growth in engine sales [2]. R&amp;D Intensity (1/1): ATI maintains over 200 active patents in melt technologies and additive manufacturing powder production, investing above peers in process R&amp;D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ATI's stated purpose focuses on delivering specialty materials that enable human flight, defense, medical advancement, and energy — connecting their metallurgical expertise to critical applications, but the mission statement itself is not deeply distinctive from specialty materials peers [5]. Community Impact (0/2): No specific charitable foundation, community investment programs, or dollar amounts for philanthropic efforts were identified in public materials [5]. Employee Retention (1/2): ATI has 7,600 employees across multiple manufacturing facilities with a complex unionized workforce; Glassdoor rating of 3.3/5 with some reviews citing cultural challenges, though CEO Kimberly Fields has been driving cultural transformation since 2019 [6]. Insider Buying (1/2): CEO Kimberly Fields has held her position since 2019 through a major strategic transformation, indicating leadership conviction, though specific recent insider purchase amounts were not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ATI's financial infrastructure is strong and improving: ROE of 21.6% well above the 15% target, 5yr revenue CAGR of approximately 10.4% reflecting the aerospace recovery, and PEG of 1.33 is reasonable for the growth trajectory [1][2]. The balance sheet carries manageable D/E of 95.9% ($1.84B debt vs. $417M cash) with adjusted free cash flow of $380M in 2025 (up 53% YoY), providing strong debt service coverage. Forward P/E of 32x is moderate given 2026 EPS guidance of $3.99-$4.27 representing 23-32% growth. Profit margin of 8.8% is typical for specialty metals but below the 20% target. The company's 2026 EBITDA guidance of $975M-$1B (up 16%) signals continued margin expansion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ATI demonstrates mixed infinite-finite game characteristics — the company has genuine long-term positioning in critical aerospace supply chains with multi-decade customer relationships, but the legacy of financial distress (pre-2021 restructuring), heavy reliance on cyclical defense spending, and cultural challenges suggest finite-game pressures persist alongside the long-term vision [1][6].</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ATI's purpose of enabling human flight, defense, and medical advancement through specialty materials connects its metallurgical expertise to genuinely important applications. The company's transformation under CEO Fields from a diversified metals conglomerate to a focused aerospace/defense specialty materials leader shows strategic intentionality. However, this repositioning is still relatively recent (post-2021 restructuring) and has not yet been tested through a full aerospace downcycle [1][5].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ATI employs 7,600 workers across multiple manufacturing facilities, many represented by labor unions. Glassdoor reviews (3.3/5) present a mixed picture — some employees cite positive momentum under CEO Fields' cultural transformation, while others report persistent challenges with senior leadership's focus on revenue over people. The unionized workforce structure provides formal channels for worker voice but also reflects historical labor-management tensions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(2/2): ATI operates alongside PCC/Berkshire Hathaway (TIMET) as one of only two domestic titanium sponge producers, maintaining a respectful competitive dynamic focused on serving the growing aerospace market rather than destroying each other. Management frames strategy in terms of expanding capacity to capture growing demand rather than taking share, and long-term agreements with major OEMs (e.g., the $1.2B sales commitment) reflect partnership-oriented competition [1][4].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ATI demonstrated meaningful strategic flexibility by divesting its commodity stainless steel business and restructuring through a near-crisis period pre-2021 to emerge as a focused specialty materials company. The shift from 50% commodity metals to 68% aerospace and defense represents real transformation. However, the company remains fundamentally a metals manufacturer — the business model transformation is in customer mix, not in the nature of the business itself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Kimberly Fields drove a painful but necessary transformation — divesting lower-margin businesses, restructuring the balance sheet, and investing in capacity expansion during uncertainty. The decision to pursue $1.2B in long-term commitments and invest in isothermal forging expansion reflects confidence in the long-term aerospace cycle. However, the company has not yet been tested through a downturn under current leadership, and the heavy reliance on defense spending introduces political risk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ATI is a rare pure-play on the aerospace and defense materials supercycle, with an effective duopoly in domestic titanium production and deepening strategic positioning as A&amp;D grows to 70%+ of revenue in 2026. The company's 2025 results were exceptional — adjusted EBITDA up 18% to $859M, free cash flow up 53% to $380M, and jet engine sales up 21% — with 2026 guidance calling for $975M-$1B EBITDA (another 16% growth) [1][2]. The $1.2B in long-term aerospace sales commitments provides unusual revenue visibility for a materials company.</w:t>
      </w:r>
    </w:p>
    <w:p>
      <w:pPr>
        <w:spacing w:after="120"/>
      </w:pPr>
      <w:r>
        <w:rPr>
          <w:rFonts w:ascii="Calibri" w:hAnsi="Calibri"/>
          <w:b w:val="0"/>
          <w:color w:val="3A4A28"/>
          <w:sz w:val="20"/>
        </w:rPr>
        <w:t>The HOLD rating reflects strong fundamentals tempered by a forward P/E of 32x and trailing P/E of 58x that prices in significant continued growth. The near-term earnings dip (Q4 2025 EPS down 29.5% YoY) was driven by timing of shipments and mix, creating noise in the trailing metrics. The key risk is ATI's concentration in aerospace — if commercial aviation build rates disappoint or defense spending faces budget pressure, the premium valuation could compress. The specialty metals business is inherently cyclical despite the structural tailwinds, and the company's cultural challenges (Glassdoor 3.3/5) warrant monitoring as it scales capacity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EBITDA guidance of $975M-$1B represents 16% growth with mid-teens jet engine sales growth and missile revenue continuing to surge, supported by $1.2B in long-term commitments [1][2]</w:t>
      </w:r>
    </w:p>
    <w:p>
      <w:pPr>
        <w:spacing w:before="40" w:after="40"/>
        <w:ind w:left="283"/>
      </w:pPr>
      <w:r>
        <w:rPr>
          <w:rFonts w:ascii="Calibri" w:hAnsi="Calibri"/>
          <w:b/>
          <w:color w:val="4A6B25"/>
          <w:sz w:val="20"/>
        </w:rPr>
        <w:t xml:space="preserve">2. </w:t>
      </w:r>
      <w:r>
        <w:rPr>
          <w:rFonts w:ascii="Calibri" w:hAnsi="Calibri"/>
          <w:b w:val="0"/>
          <w:color w:val="3A4A28"/>
          <w:sz w:val="20"/>
        </w:rPr>
        <w:t>A&amp;D mix exceeding 70% of revenue in 2026 reduces cyclical commodity exposure and supports margin expansion toward specialty materials peer levels [2]</w:t>
      </w:r>
    </w:p>
    <w:p>
      <w:pPr>
        <w:spacing w:before="40" w:after="40"/>
        <w:ind w:left="283"/>
      </w:pPr>
      <w:r>
        <w:rPr>
          <w:rFonts w:ascii="Calibri" w:hAnsi="Calibri"/>
          <w:b/>
          <w:color w:val="4A6B25"/>
          <w:sz w:val="20"/>
        </w:rPr>
        <w:t xml:space="preserve">3. </w:t>
      </w:r>
      <w:r>
        <w:rPr>
          <w:rFonts w:ascii="Calibri" w:hAnsi="Calibri"/>
          <w:b w:val="0"/>
          <w:color w:val="3A4A28"/>
          <w:sz w:val="20"/>
        </w:rPr>
        <w:t>Capacity expansion in isothermal forging and specialty alloys positions ATI to capture growing demand from next-generation engine programs (LEAP, GE9X) and defense platforms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32x and trailing P/E of 58x price in continued strong execution — any disruption to commercial aviation build rates (Boeing/Airbus delays) or defense budget cuts could trigger significant de-rating [1][2]</w:t>
      </w:r>
    </w:p>
    <w:p>
      <w:pPr>
        <w:spacing w:before="40" w:after="40"/>
        <w:ind w:left="283"/>
      </w:pPr>
      <w:r>
        <w:rPr>
          <w:rFonts w:ascii="Calibri" w:hAnsi="Calibri"/>
          <w:b/>
          <w:color w:val="4A6B25"/>
          <w:sz w:val="20"/>
        </w:rPr>
        <w:t xml:space="preserve">2. </w:t>
      </w:r>
      <w:r>
        <w:rPr>
          <w:rFonts w:ascii="Calibri" w:hAnsi="Calibri"/>
          <w:b w:val="0"/>
          <w:color w:val="3A4A28"/>
          <w:sz w:val="20"/>
        </w:rPr>
        <w:t>Heavy concentration in aerospace and defense (68-70%+ of revenue) creates single-sector dependency, amplifying cyclical risk if the aerospace supercycle peaks earlier than expected [2]</w:t>
      </w:r>
    </w:p>
    <w:p>
      <w:pPr>
        <w:spacing w:before="40" w:after="40"/>
        <w:ind w:left="283"/>
      </w:pPr>
      <w:r>
        <w:rPr>
          <w:rFonts w:ascii="Calibri" w:hAnsi="Calibri"/>
          <w:b/>
          <w:color w:val="4A6B25"/>
          <w:sz w:val="20"/>
        </w:rPr>
        <w:t xml:space="preserve">3. </w:t>
      </w:r>
      <w:r>
        <w:rPr>
          <w:rFonts w:ascii="Calibri" w:hAnsi="Calibri"/>
          <w:b w:val="0"/>
          <w:color w:val="3A4A28"/>
          <w:sz w:val="20"/>
        </w:rPr>
        <w:t>Glassdoor reviews (3.3/5) cite cultural concerns including leadership focus on revenue over people; scaling manufacturing capacity requires workforce engagement that cultural challenges could undermine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ATI's core business — melting, forging, and machining titanium and nickel superalloys for jet engines, missiles, and medical devices — is fundamentally physical-world manufacturing that AI cannot replace [1][4]. The company operates in a heavily regulated, capital-intensive industry with multi-year qualification cycles; switching costs are enormous because aerospace alloy specifications take years to certify. AI actually increases demand for ATI's materials as autonomous systems, drones, and AI-enabled defense platforms all require the same specialty alloys. The domestic titanium oligopoly position is structurally immune to AI disruption [4]. AI Opportunity (1/1): ATI deploys AI internally for predictive maintenance and yield optimization across its manufacturing operations, and the broader AI infrastructure buildout drives incremental demand for precision components in data center cooling systems and power generation equipment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ATI Inc. Q4 2025 Earnings Call and Full Year 2025 Results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ATI Inc. 2026 Guidance — Investing.com Q4 2025 Presentation Analysis, February 2026</w:t>
      </w:r>
    </w:p>
    <w:p>
      <w:pPr>
        <w:spacing w:before="20" w:after="20"/>
        <w:ind w:left="170"/>
      </w:pPr>
      <w:r>
        <w:rPr>
          <w:rFonts w:ascii="Calibri" w:hAnsi="Calibri"/>
          <w:b/>
          <w:color w:val="4A6B25"/>
          <w:sz w:val="15"/>
        </w:rPr>
        <w:t xml:space="preserve">3. </w:t>
      </w:r>
      <w:r>
        <w:rPr>
          <w:rFonts w:ascii="Calibri" w:hAnsi="Calibri"/>
          <w:b w:val="0"/>
          <w:color w:val="3A4A28"/>
          <w:sz w:val="17"/>
        </w:rPr>
        <w:t>ATI Inc. 2024 Annual Report and Digital Transformation Strategy, March 2025</w:t>
      </w:r>
    </w:p>
    <w:p>
      <w:pPr>
        <w:spacing w:before="20" w:after="20"/>
        <w:ind w:left="170"/>
      </w:pPr>
      <w:r>
        <w:rPr>
          <w:rFonts w:ascii="Calibri" w:hAnsi="Calibri"/>
          <w:b/>
          <w:color w:val="4A6B25"/>
          <w:sz w:val="15"/>
        </w:rPr>
        <w:t xml:space="preserve">4. </w:t>
      </w:r>
      <w:r>
        <w:rPr>
          <w:rFonts w:ascii="Calibri" w:hAnsi="Calibri"/>
          <w:b w:val="0"/>
          <w:color w:val="3A4A28"/>
          <w:sz w:val="17"/>
        </w:rPr>
        <w:t>ATI Inc. $1.2 Billion Aerospace and Defense Sales Commitments Announcement, PR Newswire</w:t>
      </w:r>
    </w:p>
    <w:p>
      <w:pPr>
        <w:spacing w:before="20" w:after="20"/>
        <w:ind w:left="170"/>
      </w:pPr>
      <w:r>
        <w:rPr>
          <w:rFonts w:ascii="Calibri" w:hAnsi="Calibri"/>
          <w:b/>
          <w:color w:val="4A6B25"/>
          <w:sz w:val="15"/>
        </w:rPr>
        <w:t xml:space="preserve">5. </w:t>
      </w:r>
      <w:r>
        <w:rPr>
          <w:rFonts w:ascii="Calibri" w:hAnsi="Calibri"/>
          <w:b w:val="0"/>
          <w:color w:val="3A4A28"/>
          <w:sz w:val="17"/>
        </w:rPr>
        <w:t>ATI Inc. Corporate Website — About and Mission,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Glassdoor Employee Reviews — ATI Inc.,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