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ATOM</w:t>
      </w:r>
      <w:r>
        <w:rPr>
          <w:rFonts w:ascii="Calibri" w:hAnsi="Calibri"/>
          <w:b/>
          <w:color w:val="1A2010"/>
          <w:sz w:val="40"/>
        </w:rPr>
        <w:t xml:space="preserve">  Atomera Incorporated</w:t>
      </w:r>
    </w:p>
    <w:p>
      <w:pPr>
        <w:spacing w:after="120"/>
      </w:pPr>
      <w:r>
        <w:rPr>
          <w:rFonts w:ascii="Calibri" w:hAnsi="Calibri"/>
          <w:b/>
          <w:color w:val="6E8450"/>
          <w:sz w:val="18"/>
        </w:rPr>
        <w:t>GROWTH SLEEVE · 2026-04-15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Atomera is a semiconductor materials and IP licensing company developing its proprietary Mears Silicon Technology (MST), a quantum-engineered thin film applied during chip fabrication. MST targets DRAM, RF SOI, power, and GaN applications with the promise of improved transistor performance for next-generation nodes including Gate All Around (GAA) architectures.</w:t>
      </w:r>
    </w:p>
    <w:p>
      <w:r>
        <w:rPr>
          <w:rFonts w:ascii="Calibri" w:hAnsi="Calibri"/>
          <w:b/>
          <w:color w:val="6E8450"/>
          <w:sz w:val="18"/>
        </w:rPr>
        <w:t>30 Employees · https://www.atomera.com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Fiscal 2025 revenue of only $65,000 (down 51.9% from $135,000) with a net loss of $20.2M underscores Atomera is still pre-commercial despite being public since 2016 [1]. Q1 2026 revenue guidance of $50K-$100K shows commercial revenue is still negligible. AI Deployment (0/2): Atomera's product IS infrastructure for AI chips (Gate All Around transistors for AI processors), but the company itself does not deploy AI in its business. Market Share (0/2): Effectively zero market share — MST has not yet been adopted in commercial semiconductor manufacturing at scale. Pipeline (2/2): First commercial customer has begun running MST GaN-on-silicon wafers, and the company is advancing DRAM, RF SOI, power, and GaN programs [1]. Some sources suggest 300% revenue growth for 2026 off the tiny base. R&amp;D Intensity (2/1): With ~$18.5M non-GAAP opex in 2026 vs. sub-$1M of revenue, this is essentially an R&amp;D-only company — R&amp;D intensity is extreme relative to revenue, but that is a negative for a company public for 10 years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Atomera's mission to enable next-generation chip performance for AI and advanced semiconductor applications is meaningful, and CEO Scott Bibaud speaks credibly about transistor-level innovation enabling AI compute [3]. However, the mission has not yet translated to commercial scale despite a decade on the public markets. Community Impact (1/2): A ~30-employee company has limited community footprint. The Inspire dataset grants 6 positive attributions including Data Security, Energy Management, Hiring Ethics, and Product Sustainability [4]. Employee Retention (1/2): Bibaud has led since 2015 with no notable senior departures, providing stability. No public Glassdoor data in search results. Insider Buying (0/2): The company has relied on dilutive equity financings to fund operations, which is the opposite of insider-buying alignment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Financially fragile. 2025 revenue of $65K with a $20.2M net loss, ROE of -92.8%, profit margin of 0%, and a cash decline from $26.8M to $19.2M during 2025 (-28%) means Atomera has roughly 12-18 months of runway at current burn before needing another dilutive raise [1][5]. D/E is reported at 6.96 but is misleading on such a tiny equity base. Forward P/E is -9.5x (unprofitable). Revenue growth of 117% YoY (yfinance measure) looks optimistic but is off a sub-$100K base [5]. Liquidity floor cleared at $12M daily (2.38M volume x $5.04), but the $195M market cap is pricing extraordinary future licensing optionality against minimal current revenue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Atomera has shown remarkable infinite-game patience — 10 years public, still pre-commercial, still investing in IP and customer engineering engagements — but the runway constraint imposes a finite-game clock, and repeated dilutive financings for a $195M market cap business with $65K revenue signals an increasingly difficult narrative to maintain.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better transistors for AI, mobile, and power applications at the material level is a legitimate just cause in the semiconductor ecosystem, and MST's technical merit is plausible [3]. Commercial validation is still pending.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Bibaud's decade-long tenure and a tight ~30-person team suggest trust-based continuity [3]. No public Glassdoor data. Repeated equity dilution puts pressure on talent retention via option value dynamics.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Atomera's 'rivals' are foundry-internal R&amp;D teams at TSMC, Samsung, Intel, and GlobalFoundries that develop competing transistor enhancements in-house — a formidable set that the company must displace through superior performance data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Atomera has flexed its target applications from the original MOS transistor focus to RF SOI, DRAM, power, and GaN, demonstrating adaptability in identifying where MST value is most commercially viable [1]. The commercial GaN customer in 2025 was a meaningful flex.</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Remaining public and funding through dilutive equity over a 10-year pre-commercial period requires courage, but it could also be interpreted as delaying tough strategic choices (e.g., private sale, licensing buyout). The absence of commercial revenue despite years of customer engagement tests the conviction narrative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Atomera offers highly asymmetric but speculative upside on the commercialization of its Mears Silicon Technology (MST) — a quantum-engineered transistor film targeting the $450B+ semiconductor industry [1]. Its first commercial customer is now running MST GaN-on-silicon wafers, CEO Scott Bibaud links MST directly to AI chip performance (Gate All Around architectures), and the company is advancing DRAM, RF SOI, power, and GaN programs [3][1]. Faith-aligned investors may find the +50 Inspire score with zero negative attributions a rare positive among small-cap technology names. The AI-driven semiconductor demand backdrop provides a supportive narrative for eventual MST licensing revenue.</w:t>
      </w:r>
    </w:p>
    <w:p>
      <w:pPr>
        <w:spacing w:after="120"/>
      </w:pPr>
      <w:r>
        <w:rPr>
          <w:rFonts w:ascii="Calibri" w:hAnsi="Calibri"/>
          <w:b w:val="0"/>
          <w:color w:val="3A4A28"/>
          <w:sz w:val="20"/>
        </w:rPr>
        <w:t>The bear case is severe and well-documented. Atomera generated just $65,000 in 2025 revenue — down 51.9% year-over-year — against a $20.2M net loss, and the company has been public for a decade without achieving commercial scale [1]. Cash declined 28% in 2025 (from $26.8M to $19.2M) and the company has consistently relied on dilutive equity financings to fund operations; at current burn, runway is roughly 12-18 months before another raise [1]. The $195M market cap is pricing significant future licensing optionality that foundries have not validated despite repeated customer engagements. Competition is intense — TSMC, Samsung, Intel, and GlobalFoundries all have internal R&amp;D teams developing competing transistor enhancements. A SELL rating reflects the low probability of the current burn rate producing commercial success before the next dilution event.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commercial MST GaN-on-silicon wafer customer ramping production, potentially triggering additional foundry customer announcements in 2026 [1]</w:t>
      </w:r>
    </w:p>
    <w:p>
      <w:pPr>
        <w:spacing w:before="40" w:after="40"/>
        <w:ind w:left="283"/>
      </w:pPr>
      <w:r>
        <w:rPr>
          <w:rFonts w:ascii="Calibri" w:hAnsi="Calibri"/>
          <w:b/>
          <w:color w:val="4A6B25"/>
          <w:sz w:val="20"/>
        </w:rPr>
        <w:t xml:space="preserve">2. </w:t>
      </w:r>
      <w:r>
        <w:rPr>
          <w:rFonts w:ascii="Calibri" w:hAnsi="Calibri"/>
          <w:b w:val="0"/>
          <w:color w:val="3A4A28"/>
          <w:sz w:val="20"/>
        </w:rPr>
        <w:t>DRAM, RF SOI, and power MST customer engagements converting from evaluation to licensing revenue — a single Tier-1 license would be transformational [1]</w:t>
      </w:r>
    </w:p>
    <w:p>
      <w:pPr>
        <w:spacing w:before="40" w:after="40"/>
        <w:ind w:left="283"/>
      </w:pPr>
      <w:r>
        <w:rPr>
          <w:rFonts w:ascii="Calibri" w:hAnsi="Calibri"/>
          <w:b/>
          <w:color w:val="4A6B25"/>
          <w:sz w:val="20"/>
        </w:rPr>
        <w:t xml:space="preserve">3. </w:t>
      </w:r>
      <w:r>
        <w:rPr>
          <w:rFonts w:ascii="Calibri" w:hAnsi="Calibri"/>
          <w:b w:val="0"/>
          <w:color w:val="3A4A28"/>
          <w:sz w:val="20"/>
        </w:rPr>
        <w:t>AI-driven semiconductor demand and Gate All Around transistor transitions providing structural tailwind for performance-enhancing materials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 2025 cash declined 28% with $20.2M annual burn, requiring another dilutive equity raise within ~12-18 months [1]</w:t>
      </w:r>
    </w:p>
    <w:p>
      <w:pPr>
        <w:spacing w:before="40" w:after="40"/>
        <w:ind w:left="283"/>
      </w:pPr>
      <w:r>
        <w:rPr>
          <w:rFonts w:ascii="Calibri" w:hAnsi="Calibri"/>
          <w:b/>
          <w:color w:val="4A6B25"/>
          <w:sz w:val="20"/>
        </w:rPr>
        <w:t xml:space="preserve">2. </w:t>
      </w:r>
      <w:r>
        <w:rPr>
          <w:rFonts w:ascii="Calibri" w:hAnsi="Calibri"/>
          <w:b w:val="0"/>
          <w:color w:val="3A4A28"/>
          <w:sz w:val="20"/>
        </w:rPr>
        <w:t>Commercial adoption failure — 10 years public with minimal license revenue despite ongoing customer engagements; foundry internal R&amp;D may continue to preempt MST adoption [1]</w:t>
      </w:r>
    </w:p>
    <w:p>
      <w:pPr>
        <w:spacing w:before="40" w:after="40"/>
        <w:ind w:left="283"/>
      </w:pPr>
      <w:r>
        <w:rPr>
          <w:rFonts w:ascii="Calibri" w:hAnsi="Calibri"/>
          <w:b/>
          <w:color w:val="4A6B25"/>
          <w:sz w:val="20"/>
        </w:rPr>
        <w:t xml:space="preserve">3. </w:t>
      </w:r>
      <w:r>
        <w:rPr>
          <w:rFonts w:ascii="Calibri" w:hAnsi="Calibri"/>
          <w:b w:val="0"/>
          <w:color w:val="3A4A28"/>
          <w:sz w:val="20"/>
        </w:rPr>
        <w:t>Valuation — $195M market cap on $65K revenue depends on binary commercial catalyst; any delay in Tier-1 foundry adoption risks significant share-price downside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Atomera's MST technology targets the physical transistor layer that underpins AI compute — Gate All Around nodes, RF, and power applications [3]. The more AI accelerates semiconductor demand and Moore's Law scaling pressure, the greater the potential demand for performance-enhancing MST films. The technology itself is not substitutable by AI. AI Opportunity (1/1): Bibaud has publicly linked MST to AI chip performance (Gate All Around architectures delivering performance/efficiency for next-gen AI processors), and the commercial GaN-on-silicon wafer customer is likely an AI/power tangential use case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Atomera Q4 2025 earnings release — revenue $65K, net loss $20.2M, cash $19.2M, Q1 2026 guidance $50K-$100K</w:t>
      </w:r>
    </w:p>
    <w:p>
      <w:pPr>
        <w:spacing w:before="20" w:after="20"/>
        <w:ind w:left="170"/>
      </w:pPr>
      <w:r>
        <w:rPr>
          <w:rFonts w:ascii="Calibri" w:hAnsi="Calibri"/>
          <w:b/>
          <w:color w:val="4A6B25"/>
          <w:sz w:val="15"/>
        </w:rPr>
        <w:t xml:space="preserve">2. </w:t>
      </w:r>
      <w:r>
        <w:rPr>
          <w:rFonts w:ascii="Calibri" w:hAnsi="Calibri"/>
          <w:b w:val="0"/>
          <w:color w:val="3A4A28"/>
          <w:sz w:val="17"/>
        </w:rPr>
        <w:t>Yahoo Finance / Ca Finance Yahoo — Q4 2025 earnings call highlights and MST commercial progress</w:t>
      </w:r>
    </w:p>
    <w:p>
      <w:pPr>
        <w:spacing w:before="20" w:after="20"/>
        <w:ind w:left="170"/>
      </w:pPr>
      <w:r>
        <w:rPr>
          <w:rFonts w:ascii="Calibri" w:hAnsi="Calibri"/>
          <w:b/>
          <w:color w:val="4A6B25"/>
          <w:sz w:val="15"/>
        </w:rPr>
        <w:t xml:space="preserve">3. </w:t>
      </w:r>
      <w:r>
        <w:rPr>
          <w:rFonts w:ascii="Calibri" w:hAnsi="Calibri"/>
          <w:b w:val="0"/>
          <w:color w:val="3A4A28"/>
          <w:sz w:val="17"/>
        </w:rPr>
        <w:t>Embedded Computing Design / Atomera — Scott Bibaud on AI chip performance and Gate All Around transistor innovation</w:t>
      </w:r>
    </w:p>
    <w:p>
      <w:pPr>
        <w:spacing w:before="20" w:after="20"/>
        <w:ind w:left="170"/>
      </w:pPr>
      <w:r>
        <w:rPr>
          <w:rFonts w:ascii="Calibri" w:hAnsi="Calibri"/>
          <w:b/>
          <w:color w:val="4A6B25"/>
          <w:sz w:val="15"/>
        </w:rPr>
        <w:t xml:space="preserve">4. </w:t>
      </w:r>
      <w:r>
        <w:rPr>
          <w:rFonts w:ascii="Calibri" w:hAnsi="Calibri"/>
          <w:b w:val="0"/>
          <w:color w:val="3A4A28"/>
          <w:sz w:val="17"/>
        </w:rPr>
        <w:t>CapEdge / Morningstar — Atomera ESG data and Inspire Insight positive attributions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ATOM,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