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ATON</w:t>
      </w:r>
      <w:r>
        <w:rPr>
          <w:rFonts w:ascii="Calibri" w:hAnsi="Calibri"/>
          <w:b/>
          <w:color w:val="1A2010"/>
          <w:sz w:val="40"/>
        </w:rPr>
        <w:t xml:space="preserve">  AlphaTON Capital Corp.</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British Virgin Islands</w:t>
      </w:r>
    </w:p>
    <w:p>
      <w:pPr>
        <w:spacing w:after="80"/>
      </w:pPr>
      <w:r>
        <w:rPr>
          <w:rFonts w:ascii="Calibri" w:hAnsi="Calibri"/>
          <w:b w:val="0"/>
          <w:color w:val="3A4A28"/>
          <w:sz w:val="20"/>
        </w:rPr>
        <w:t>AlphaTON Capital Corp. operates as a digital asset treasury company focused on building and managing a strategic reserve of The Open Network (TON) tokens and developing the Telegram ecosystem. Formerly known as Portage Biotech Inc. (a clinical-stage immuno-oncology company), it rebranded in September 2025 after pivoting from biotech to crypto. Based in Road Town, British Virgin Islands.</w:t>
      </w:r>
    </w:p>
    <w:p>
      <w:r>
        <w:rPr>
          <w:rFonts w:ascii="Calibri" w:hAnsi="Calibri"/>
          <w:b/>
          <w:color w:val="6E8450"/>
          <w:sz w:val="18"/>
        </w:rPr>
        <w:t>3 Employees · https://alphatoncapital.com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immuno-oncology biotech to a TON token treasury company represents a dramatic transformation, but one driven by financial desperation rather than innovation—Portage Biotech had a going concern warning before the pivot [3]. The $46M AI compute infrastructure deal with 576 NVIDIA B300 chips for Cocoon AI is a capital deployment, not a technology innovation [2]. AlphaTON has 3 employees and no proprietary technology—it buys tokens, stakes them, and leases GPUs [1]. The $420.69M shelf registration (a meme number) and GAMEE gaming acquisition signal trend-chasing over genuine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AlphaTON's mission centers on 'providing institutional-grade exposure to the TON ecosystem'—a financial access goal, not a transformative vision—mission floor of 1 [2]. CEO Brittany Kaiser's claims about 'privacy-preserving AI' through Cocoon compute are marketing language unsupported by any track record. With 3 employees and BVI incorporation, there is no organizational culture to evaluate [1]. Related-party share sales to directors Gregory Bailey and James Mellon at $4.10/share (current price $0.30) represent value destruction, not insider conviction [3]. No community or charitable programs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ROE of -311% scores 0.0, profit margin of 0% scores 0.0, and forward P/E is negative (excluded) [1]. No revenue growth data available. No PEG ratio available. D/E unavailable. The company reported $0.2M cash against $21.5M current liabilities with going concern doubt [3]. Only two metrics scored (ROE and profit margin), both at 0.0. Liquidity passes at ~$1.78M daily dollar volume, but the infrastructure score rounds to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AlphaTON epitomizes finite game thinking. A biotech company with going concern warnings abandoned its cancer therapy patients to chase the crypto treasury trend, rebranding around a meme-inspired $420.69M shelf registration [2][3]. With 3 employees, BVI incorporation for tax avoidance, related-party director share sales, and no articulated vision beyond token accumulation, this company exists to capitalize on a market cycle, not to endure. CEO Brittany Kaiser's background in data privacy advocacy (Cambridge Analytica whistleblower) adds celebrity but not operational depth.</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AlphaTON has no Just Cause. The company's purpose—building a TON token treasury and providing 'institutional-grade exposure' to the Telegram ecosystem—is a financial intermediation goal with no vision of a better future [2]. The abandoned biotech mission of advancing cancer therapies was a genuine cause that was sacrificed for crypto speculation. Sinek would view this as a company that traded meaning for money. Just Cause: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 full-time employees, there are no 'teams' to trust [1]. The company operates through a network of strategic advisors (Anthony Scaramucci, Michael Terpin) and outsourced operations rather than building organizational capability [2]. The pivot from biotech to crypto likely displaced the entire Portage Biotech team. No employee sentiment data exists. Trusting Teams: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AlphaTON competes in the crypto treasury space against larger players but shows no evidence of learning from rivals' strengths [2]. The competitive language focuses on being 'the premier treasury manager for TON tokens'—a positioning claim, not a self-improvement mindset. No acknowledgment of what competitors do better.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biotech to crypto treasury could superficially appear as existential flexibility, but Sinek's framework requires that flexibility serve a Just Cause [3]. Portage Biotech abandoned cancer patients and clinical trials to chase token speculation—this is opportunism, not purpose-driven reinvention. The company has no cause to be flexible in service of. Existential Flexibility: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Brittany Kaiser has made bold capital deployment decisions—$46M in GPU infrastructure, $100M TON token acquisition strategy—that require conviction [2]. The willingness to bet heavily on the Telegram/TON ecosystem when the thesis is unproven shows some courage. However, this courage serves financial speculation rather than a Just Cause, and the BVI incorporation and related-party transactions suggest the courage is with shareholders' money, not leadership's own.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AlphaTON Capital is a NASDAQ-listed digital asset treasury company that pivoted from immuno-oncology (Portage Biotech) to accumulating TON tokens and leasing GPU infrastructure for the Telegram/Cocoon AI ecosystem. The company has deployed capital into 576 NVIDIA B300 chips ($46M), TON token reserves, and Telegram bonds yielding 9% [2]. A $420.69M shelf registration provides capital-raising capacity for further ecosystem investment.</w:t>
      </w:r>
    </w:p>
    <w:p>
      <w:pPr>
        <w:spacing w:after="120"/>
      </w:pPr>
      <w:r>
        <w:rPr>
          <w:rFonts w:ascii="Calibri" w:hAnsi="Calibri"/>
          <w:b w:val="0"/>
          <w:color w:val="3A4A28"/>
          <w:sz w:val="20"/>
        </w:rPr>
        <w:t>The investment case is extremely speculative. AlphaTON has 3 employees, zero revenue, -311% ROE, and $0.2M cash against $21.5M current liabilities with going concern doubt [1][3]. The stock has declined from $4.10 (director share sale price) to $0.30, destroying over 90% of shareholder value. BVI incorporation, related-party transactions, and a meme-number shelf registration raise serious governance red flags. The Cocoon AI and TON ecosystem thesis is entirely unproven, and the company's survival depends on continued access to capital markets through dilutive offerings. This is not an investable security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Cocoon AI compute deployment projected to deliver 27% IRR and 282% ROI if GPU utilization targets are met [2]</w:t>
      </w:r>
    </w:p>
    <w:p>
      <w:pPr>
        <w:spacing w:before="40" w:after="40"/>
        <w:ind w:left="283"/>
      </w:pPr>
      <w:r>
        <w:rPr>
          <w:rFonts w:ascii="Calibri" w:hAnsi="Calibri"/>
          <w:b/>
          <w:color w:val="4A6B25"/>
          <w:sz w:val="20"/>
        </w:rPr>
        <w:t xml:space="preserve">2. </w:t>
      </w:r>
      <w:r>
        <w:rPr>
          <w:rFonts w:ascii="Calibri" w:hAnsi="Calibri"/>
          <w:b w:val="0"/>
          <w:color w:val="3A4A28"/>
          <w:sz w:val="20"/>
        </w:rPr>
        <w:t>Telegram ecosystem growth to 1B+ users could increase TON token value and staking returns [2]</w:t>
      </w:r>
    </w:p>
    <w:p>
      <w:pPr>
        <w:spacing w:before="40" w:after="40"/>
        <w:ind w:left="283"/>
      </w:pPr>
      <w:r>
        <w:rPr>
          <w:rFonts w:ascii="Calibri" w:hAnsi="Calibri"/>
          <w:b/>
          <w:color w:val="4A6B25"/>
          <w:sz w:val="20"/>
        </w:rPr>
        <w:t xml:space="preserve">3. </w:t>
      </w:r>
      <w:r>
        <w:rPr>
          <w:rFonts w:ascii="Calibri" w:hAnsi="Calibri"/>
          <w:b w:val="0"/>
          <w:color w:val="3A4A28"/>
          <w:sz w:val="20"/>
        </w:rPr>
        <w:t>GAMEE mobile gaming acquisition and Telegram bond purchases could diversify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$0.2M cash against $21.5M current liabilities requires continuous dilutive capital raises [3]</w:t>
      </w:r>
    </w:p>
    <w:p>
      <w:pPr>
        <w:spacing w:before="40" w:after="40"/>
        <w:ind w:left="283"/>
      </w:pPr>
      <w:r>
        <w:rPr>
          <w:rFonts w:ascii="Calibri" w:hAnsi="Calibri"/>
          <w:b/>
          <w:color w:val="4A6B25"/>
          <w:sz w:val="20"/>
        </w:rPr>
        <w:t xml:space="preserve">2. </w:t>
      </w:r>
      <w:r>
        <w:rPr>
          <w:rFonts w:ascii="Calibri" w:hAnsi="Calibri"/>
          <w:b w:val="0"/>
          <w:color w:val="3A4A28"/>
          <w:sz w:val="20"/>
        </w:rPr>
        <w:t>BVI incorporation, related-party director share sales, and meme-number shelf registration signal governance dysfunction [3]</w:t>
      </w:r>
    </w:p>
    <w:p>
      <w:pPr>
        <w:spacing w:before="40" w:after="40"/>
        <w:ind w:left="283"/>
      </w:pPr>
      <w:r>
        <w:rPr>
          <w:rFonts w:ascii="Calibri" w:hAnsi="Calibri"/>
          <w:b/>
          <w:color w:val="4A6B25"/>
          <w:sz w:val="20"/>
        </w:rPr>
        <w:t xml:space="preserve">3. </w:t>
      </w:r>
      <w:r>
        <w:rPr>
          <w:rFonts w:ascii="Calibri" w:hAnsi="Calibri"/>
          <w:b w:val="0"/>
          <w:color w:val="3A4A28"/>
          <w:sz w:val="20"/>
        </w:rPr>
        <w:t>TON token price volatility could devastate the treasury-dependent balance sheet; zero revenue provides no operating cushion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AlphaTON's core business—accumulating TON tokens and leasing GPU infrastructure—has no meaningful AI moat [2]. The Cocoon AI compute lease generates revenue from GPU rentals, but this is commoditized infrastructure where hyperscalers (AWS, Azure, GCP) have overwhelming scale advantages. Token staking and DeFi protocol investments face no direct AI disruption but also derive no AI protection. The GAMEE mobile gaming acquisition is in a category highly exposed to AI-generated content competition [2]. The company claims AI compute revenue via the $46M B300 chip deployment, but this is a capital lease, not proprietary AI capability. AI Risk Protection: 3, AI Opportunity: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AlphaTON Capital Corp. (ATON) Key Statistics,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'AlphaTON Capital Closes $46M AI Infrastructure Expansion', January 2026</w:t>
      </w:r>
    </w:p>
    <w:p>
      <w:pPr>
        <w:spacing w:before="20" w:after="20"/>
        <w:ind w:left="170"/>
      </w:pPr>
      <w:r>
        <w:rPr>
          <w:rFonts w:ascii="Calibri" w:hAnsi="Calibri"/>
          <w:b/>
          <w:color w:val="4A6B25"/>
          <w:sz w:val="15"/>
        </w:rPr>
        <w:t xml:space="preserve">3. </w:t>
      </w:r>
      <w:r>
        <w:rPr>
          <w:rFonts w:ascii="Calibri" w:hAnsi="Calibri"/>
          <w:b w:val="0"/>
          <w:color w:val="3A4A28"/>
          <w:sz w:val="17"/>
        </w:rPr>
        <w:t>SEC Filing 6-K/A — AlphaTON Capital going concern disclosure and balance sheet,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