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ATO</w:t>
      </w:r>
      <w:r>
        <w:rPr>
          <w:rFonts w:ascii="Calibri" w:hAnsi="Calibri"/>
          <w:b/>
          <w:color w:val="1A2010"/>
          <w:sz w:val="40"/>
        </w:rPr>
        <w:t xml:space="preserve">  Atmos Energy Corporation</w:t>
      </w:r>
    </w:p>
    <w:p>
      <w:pPr>
        <w:spacing w:after="120"/>
      </w:pPr>
      <w:r>
        <w:rPr>
          <w:rFonts w:ascii="Calibri" w:hAnsi="Calibri"/>
          <w:b/>
          <w:color w:val="6E8450"/>
          <w:sz w:val="18"/>
        </w:rPr>
        <w:t>DIVIDEND SLEEVE · 2026-04-01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NYSE · United States</w:t>
      </w:r>
    </w:p>
    <w:p>
      <w:pPr>
        <w:spacing w:after="80"/>
      </w:pPr>
      <w:r>
        <w:rPr>
          <w:rFonts w:ascii="Calibri" w:hAnsi="Calibri"/>
          <w:b w:val="0"/>
          <w:color w:val="3A4A28"/>
          <w:sz w:val="20"/>
        </w:rPr>
        <w:t>Atmos Energy Corporation is the largest publicly traded, fully regulated, pure-play natural gas distribution company in the United States, serving over 3.3 million customers across eight states including Texas, Colorado, Kansas, Kentucky, Louisiana, Mississippi, Tennessee, and Virginia. The company focuses on safety-related infrastructure modernization and regulated rate base growth.</w:t>
      </w:r>
    </w:p>
    <w:p>
      <w:r>
        <w:rPr>
          <w:rFonts w:ascii="Calibri" w:hAnsi="Calibri"/>
          <w:b/>
          <w:color w:val="6E8450"/>
          <w:sz w:val="18"/>
        </w:rPr>
        <w:t>5,487 Employees · https://www.atmosenergy.com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Atmos Energy has delivered steady regulated growth — Q1 FY2026 EPS of $2.44 grew 9.4% YoY, and FY2025 EPS of $7.46 represented consistent mid-single-digit earnings growth [1]. However, as a regulated natural gas utility, innovation is defined by infrastructure modernization rather than product launches or market pivots. The company replaced over 1,100 miles of distribution and transmission pipe and eliminated all remaining cast-iron pipe in FY2025, which is operationally excellent but not innovative in the traditional sense [3]. AI Deployment (0/2): No evidence of AI deployment in products or operations. Atmos Energy has not publicly articulated an AI strategy beyond standard cybersecurity risk management [2]. Market Share (1/2): Atmos is the largest pure-play regulated gas distributor in the US by customer count (3.3M+), a meaningful competitive position within the regulated utility space [1]. Product Pipeline (1/2): The company's $4.2B FY2026 capex plan (85%+ safety and reliability) and exploration of large load projects including data centers and power generation represent forward-looking infrastructure investment [1]. R&amp;D Intensity (0/1): As a regulated utility, R&amp;D spending is minimal and not applicable to the traditional R&amp;D intensity framework.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Atmos Energy's vision is to be 'the safest provider of natural gas services,' which is clear and connects to public safety outcomes. The AtmoSpirit principles guide corporate culture and decision-making. However, this is a functional safety mission rather than a transformative vision of a better future — it describes what Atmos does well rather than a future state worth striving toward [2]. Community Impact (2/2): Atmos Energy serves 3.3M+ customers across eight states, employs 5,487 workers, and invested $3.6B in FY2025 capex primarily in safety infrastructure that directly protects communities [1]. The 15% dividend increase to $4.00/share annual rate demonstrates commitment to shareholder and community prosperity. The company's pipe replacement program eliminates aging infrastructure that poses safety risks to neighborhoods [3]. Employee Retention (1/2): CEO Kevin Akers rose through the ranks — from SVP Safety to President/CEO in 2019 — reflecting internal development culture. The AtmoSpirit principles emphasize employee respect and accountability. However, with only 5,487 employees and limited public retention data, specific tenure or turnover metrics are unavailable [2]. Insider Buying (1/2): Management maintains equity exposure through compensation plans. The 15% dividend increase and $4.2B capex commitment signal long-term confidence, but specific net insider buying activity is not noteworthy.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Atmos Energy's financial profile scores exceptionally well for a regulated utility. D/E of 67.4% is just below the 70% target, reflecting the capital-intensive but regulated balance sheet structure with 59.9% equity capitalization [1][4]. Revenue of $4.70B in FY2025 grew 14.2% YoY, with 5-year CAGR of ~11.2% — exceptional for a regulated utility. Forward P/E of 21.0x is slightly above the 20x target. Profit margin of 25.7% exceeds the 20% target, benefiting from the regulated rate structure that provides predictable returns [4]. ROE of 9.2% is below the 15% target but reflects the regulated utility model where authorized returns on equity typically range 9-11%. FY2026 EPS guidance of $8.15-$8.35 implies ~10% earnings growth at the midpoint [1]. Dividend credentials are outstanding: 40+ consecutive years of payments, 41 consecutive years of growth, payout ratio of 47.1%, and 5-year dividend growth CAGR of 9.0% — well above the 6% target [4]. The 15% dividend increase demonstrates accelerating growth commitment. Liquidity floor cleared: 1.35M avg volume × $185.64 = $251M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Atmos Energy plays a naturally infinite game as a regulated utility — the business model is designed for multi-decade infrastructure investment with 41 consecutive years of dividend increases as proof of endurance. CEO Akers' internal promotion and the AtmoSpirit cultural framework reflect organizational continuity, though the regulated utility model limits the opportunity for courageous strategic pivots.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Atmos Energy's vision to be 'the safest provider of natural gas services' is genuine and connected to community safety outcomes — the company's $3.6B annual capex is 87% focused on safety and reliability, with the elimination of all cast-iron pipe as tangible proof [1][3]. The AtmoSpirit principles guide organizational behavior beyond profit maximization. However, this is a functional safety cause rather than a transformative vision of a future state that doesn't yet exist. Sinek would note that 'being the safest' is a measurable goal that can be achieved, not an infinite cause.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Kevin Akers' rise from SVP Safety to CEO reflects a culture that develops and trusts internal talent [2]. The AtmoSpirit principles emphasize employee respect and accountability, and the Code of Conduct reflects 'deep commitment to corporate responsibility and employee respect.' With 5,487 employees, the organization is small enough for cultural coherence. However, specific evidence of exceptional employee empowerment, long tenure, or below-average turnover is limited in public disclosures.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Atmos has no direct competitors in its service territories. However, the company implicitly treats electrification and renewable energy as worthy rivals that push natural gas distribution to improve safety, reliability, and environmental performance. The comprehensive pipe replacement program and emissions reduction strategy reflect a company learning from the competitive pressure of clean energy alternatives rather than ignoring them [3].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natural gas utility, Atmos Energy operates within structural constraints that limit existential pivots. The company has evolved from a diversified gas company (with non-regulated segments) to a pure-play regulated distributor — the 2019 sale of its remaining non-utility operations represented a meaningful strategic focus decision. The current exploration of data center and power generation load opportunities shows adaptability within the regulated framework [1]. However, the regulated model inherently limits the kind of transformative business model change that Sinek's existential flexibility demands.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Atmos Energy demonstrates a pattern of courageous long-term investment. The company consistently invests $3.6-$4.2B annually in infrastructure modernization — committing massive capital to replace aging pipes that generate no immediate revenue growth but protect communities and ensure long-term system reliability [1]. The 15% dividend increase signals confidence in the long-term growth trajectory. The decision to explore data center and power generation load opportunities represents proactive positioning for future demand rather than reactive growth. Management maintains 59.9% equity capitalization rather than leveraging up for near-term earnings accretion, choosing balance sheet safety over financial engineering [1]. Score: 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Atmos Energy is the gold standard regulated gas utility — the largest pure-play, fully regulated natural gas distributor in the US, delivering Q1 FY2026 EPS of $2.44 (up 9.4% YoY) with full-year guidance of $8.15-$8.35 implying ~10% earnings growth [1]. The company's $4.2B FY2026 capex plan (85%+ safety-focused) drives regulated rate base growth that translates directly into authorized earnings, supported by $333.6M in annualized regulatory outcomes in FY2025 [1]. With 41 consecutive years of dividend growth, a 15% dividend increase to $4.00/share, and a 47.1% payout ratio providing room for continued growth, Atmos is an exceptional income compounder. The emerging AI data center and power generation opportunity creates incremental demand for natural gas distribution — a secular tailwind for a business that was already growing steadily. Balance sheet is conservative at 59.9% equity capitalization with $4.6B in available liquidity [1].</w:t>
      </w:r>
    </w:p>
    <w:p>
      <w:pPr>
        <w:spacing w:after="120"/>
      </w:pPr>
      <w:r>
        <w:rPr>
          <w:rFonts w:ascii="Calibri" w:hAnsi="Calibri"/>
          <w:b w:val="0"/>
          <w:color w:val="3A4A28"/>
          <w:sz w:val="20"/>
        </w:rPr>
        <w:t>The bear case focuses on valuation, regulatory risk, and the energy transition. At 21.0x forward P/E, Atmos trades at a significant premium to the 17.1x utility peer average and the 14.5x global gas utilities group — the DCF fair value estimate of $121.85 (per Simply Wall St) implies meaningful overvaluation at current prices [1][4]. ROE of 9.2% is structurally constrained by the regulated model and below the 15% target, though this reflects the authorized return framework. Revenue of $1.31B in Q1 FY2026 missed estimates by 5%, showing that top-line growth can be lumpy even as EPS beats [1]. The long-term energy transition risk is real — as electrification expands and renewable energy costs decline, natural gas distribution could face structural demand headwinds over the next 10-20 years. Atmos's Sustainalytics ESG risk score of 31.2 (high risk) and Moderate controversy level (2/4) reflect ongoing scrutiny of fossil fuel businesses [3]. The company's growth depends on continued favorable regulatory outcomes, and any shift in regulatory posture could compress authorized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and power generation load growth — management is actively pursuing large load projects that require natural gas service, creating AI-driven demand tailwinds for the regulated business [1]</w:t>
      </w:r>
    </w:p>
    <w:p>
      <w:pPr>
        <w:spacing w:before="40" w:after="40"/>
        <w:ind w:left="283"/>
      </w:pPr>
      <w:r>
        <w:rPr>
          <w:rFonts w:ascii="Calibri" w:hAnsi="Calibri"/>
          <w:b/>
          <w:color w:val="4A6B25"/>
          <w:sz w:val="20"/>
        </w:rPr>
        <w:t xml:space="preserve">2. </w:t>
      </w:r>
      <w:r>
        <w:rPr>
          <w:rFonts w:ascii="Calibri" w:hAnsi="Calibri"/>
          <w:b w:val="0"/>
          <w:color w:val="3A4A28"/>
          <w:sz w:val="20"/>
        </w:rPr>
        <w:t>FY2026 EPS guidance of $8.15-$8.35 with $4.2B capex plan driving regulated rate base growth and 10%+ earnings trajectory supported by constructive regulatory outcomes [1]</w:t>
      </w:r>
    </w:p>
    <w:p>
      <w:pPr>
        <w:spacing w:before="40" w:after="40"/>
        <w:ind w:left="283"/>
      </w:pPr>
      <w:r>
        <w:rPr>
          <w:rFonts w:ascii="Calibri" w:hAnsi="Calibri"/>
          <w:b/>
          <w:color w:val="4A6B25"/>
          <w:sz w:val="20"/>
        </w:rPr>
        <w:t xml:space="preserve">3. </w:t>
      </w:r>
      <w:r>
        <w:rPr>
          <w:rFonts w:ascii="Calibri" w:hAnsi="Calibri"/>
          <w:b w:val="0"/>
          <w:color w:val="3A4A28"/>
          <w:sz w:val="20"/>
        </w:rPr>
        <w:t>41-year dividend growth streak with 15% increase to $4.00/share annual rate, supported by 47.1% payout ratio providing substantial room for continued compounding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 21.0x forward P/E vs. 17.1x utility peer average creates downside risk if earnings growth disappoints or interest rates remain elevated, compressing utility multiples [4]</w:t>
      </w:r>
    </w:p>
    <w:p>
      <w:pPr>
        <w:spacing w:before="40" w:after="40"/>
        <w:ind w:left="283"/>
      </w:pPr>
      <w:r>
        <w:rPr>
          <w:rFonts w:ascii="Calibri" w:hAnsi="Calibri"/>
          <w:b/>
          <w:color w:val="4A6B25"/>
          <w:sz w:val="20"/>
        </w:rPr>
        <w:t xml:space="preserve">2. </w:t>
      </w:r>
      <w:r>
        <w:rPr>
          <w:rFonts w:ascii="Calibri" w:hAnsi="Calibri"/>
          <w:b w:val="0"/>
          <w:color w:val="3A4A28"/>
          <w:sz w:val="20"/>
        </w:rPr>
        <w:t>Energy transition headwinds — long-term electrification and renewable energy expansion could structurally reduce natural gas demand over the next 10-20 years, threatening the regulated distribution business model [3]</w:t>
      </w:r>
    </w:p>
    <w:p>
      <w:pPr>
        <w:spacing w:before="40" w:after="40"/>
        <w:ind w:left="283"/>
      </w:pPr>
      <w:r>
        <w:rPr>
          <w:rFonts w:ascii="Calibri" w:hAnsi="Calibri"/>
          <w:b/>
          <w:color w:val="4A6B25"/>
          <w:sz w:val="20"/>
        </w:rPr>
        <w:t xml:space="preserve">3. </w:t>
      </w:r>
      <w:r>
        <w:rPr>
          <w:rFonts w:ascii="Calibri" w:hAnsi="Calibri"/>
          <w:b w:val="0"/>
          <w:color w:val="3A4A28"/>
          <w:sz w:val="20"/>
        </w:rPr>
        <w:t>Regulatory dependence — growth is entirely contingent on favorable rate case outcomes; any shift in regulatory posture toward lower authorized returns could compress earnings growth below the current ~10%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Atmos Energy's business is structurally immune to AI disruption. Natural gas distribution requires physical pipeline infrastructure, regulatory relationships, and right-of-way access that AI cannot replicate or substitute [2]. The business is a regulated monopoly — customers cannot switch providers, creating permanent demand insulation. AI actually increases demand for Atmos Energy's services: AI data centers require enormous amounts of electricity, and natural gas power generation is a primary source of that electricity. Management explicitly identified data centers and power generation as growth opportunities in the Q1 FY2026 earnings call [1]. The regulated rate structure ensures cost recovery and authorized returns regardless of technological change. No analysts have flagged AI as a risk factor for regulated gas utilities. AI Opportunity (1/1): While Atmos does not sell AI products, the company benefits directly from AI infrastructure buildout — management is actively exploring large load projects including data centers and power generation facilities that require natural gas service, creating quantifiable AI-driven demand growth for its core regulated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Atmos Energy Q1 FY2026 Earnings Release — $2.44 EPS (9.4% growth), FY2026 guidance $8.15-$8.35, $4.2B capex, 15% dividend increase, February 2026</w:t>
      </w:r>
    </w:p>
    <w:p>
      <w:pPr>
        <w:spacing w:before="20" w:after="20"/>
        <w:ind w:left="170"/>
      </w:pPr>
      <w:r>
        <w:rPr>
          <w:rFonts w:ascii="Calibri" w:hAnsi="Calibri"/>
          <w:b/>
          <w:color w:val="4A6B25"/>
          <w:sz w:val="15"/>
        </w:rPr>
        <w:t xml:space="preserve">2. </w:t>
      </w:r>
      <w:r>
        <w:rPr>
          <w:rFonts w:ascii="Calibri" w:hAnsi="Calibri"/>
          <w:b w:val="0"/>
          <w:color w:val="3A4A28"/>
          <w:sz w:val="17"/>
        </w:rPr>
        <w:t>Atmos Energy corporate governance, leadership, and AtmoSpirit culture — CEO Kevin Akers profile, Risk Management Coordinating Committee, Code of Conduct, 2025-2026</w:t>
      </w:r>
    </w:p>
    <w:p>
      <w:pPr>
        <w:spacing w:before="20" w:after="20"/>
        <w:ind w:left="170"/>
      </w:pPr>
      <w:r>
        <w:rPr>
          <w:rFonts w:ascii="Calibri" w:hAnsi="Calibri"/>
          <w:b/>
          <w:color w:val="4A6B25"/>
          <w:sz w:val="15"/>
        </w:rPr>
        <w:t xml:space="preserve">3. </w:t>
      </w:r>
      <w:r>
        <w:rPr>
          <w:rFonts w:ascii="Calibri" w:hAnsi="Calibri"/>
          <w:b w:val="0"/>
          <w:color w:val="3A4A28"/>
          <w:sz w:val="17"/>
        </w:rPr>
        <w:t>Atmos Energy sustainability reporting — Sustainalytics ESG risk rating (31.2, high risk), Moderate controversy level, net-zero emissions strategy, pipe replacement program,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ATO (Atmos Energy),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