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ATPC</w:t>
      </w:r>
      <w:r>
        <w:rPr>
          <w:rFonts w:ascii="Calibri" w:hAnsi="Calibri"/>
          <w:b/>
          <w:color w:val="1A2010"/>
          <w:sz w:val="40"/>
        </w:rPr>
        <w:t xml:space="preserve">  Agape ATP Corporation</w:t>
      </w:r>
    </w:p>
    <w:p>
      <w:pPr>
        <w:spacing w:after="120"/>
      </w:pPr>
      <w:r>
        <w:rPr>
          <w:rFonts w:ascii="Calibri" w:hAnsi="Calibri"/>
          <w:b/>
          <w:color w:val="6E8450"/>
          <w:sz w:val="18"/>
        </w:rPr>
        <w:t>GROWTH SLEEVE · 2026-04-16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Malaysia</w:t>
      </w:r>
    </w:p>
    <w:p>
      <w:pPr>
        <w:spacing w:after="80"/>
      </w:pPr>
      <w:r>
        <w:rPr>
          <w:rFonts w:ascii="Calibri" w:hAnsi="Calibri"/>
          <w:b w:val="0"/>
          <w:color w:val="3A4A28"/>
          <w:sz w:val="20"/>
        </w:rPr>
        <w:t>Agape ATP Corporation is a Malaysia-based investment holding company supplying health and wellness products, skin care, and health solution advisory services through a network-marketing model. The company also provides renewable energy products, installations, and maintenance services. It serves approximately 56,000 distributors and 72,000 members.</w:t>
      </w:r>
    </w:p>
    <w:p>
      <w:r>
        <w:rPr>
          <w:rFonts w:ascii="Calibri" w:hAnsi="Calibri"/>
          <w:b/>
          <w:color w:val="6E8450"/>
          <w:sz w:val="18"/>
        </w:rPr>
        <w:t>18 Employees · https://www.atpc.com.my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ATPC has not launched any meaningful new products or business model transformations in the last 5 years — revenue has declined from $5.7M in 2020 to $1.5M in 2025, a 73% collapse [1]. The 'Green energy' segment and digital wellness platform are announced but not contributing material revenue. AI Deployment (0/2): No evidence of AI deployment in products or operations; the company has 18 employees and operates a traditional network-marketing distribution model in Malaysia [2]. Market Share (1/2): ATPC serves 56,465 distributors and 72,201 members in Malaysia's health and wellness market, but with only $1.5M in revenue, it holds negligible market share in a fragmented industry [1]. Pipeline (0/2): The planned digital wellness platform and renewable energy expansion lack specific timelines, revenue visibility, or product details [1]. R&amp;D Intensity (1/1): The company claims substantial R&amp;D investment in ionized nutrients and health formulas relative to its tiny revenue base, though specific R&amp;D spending is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ATPC's mission to 'promote improved health and longevity through scientific innovation, modern medicine, proper nutrition, and skilled nutritionists' is specific to its domain and articulates a health-improvement purpose [2]. However, the network-marketing distribution model raises questions about whether the mission drives strategy or simply serves as marketing for product sales. Community Impact (1/2): The company promotes wellness through online editorials, programs, events, and campaigns, and the Agape name itself references charitable love, but no specific dollar amounts or distinctive community investment programs are documented [2]. Employee Retention (0/2): With only 18 full-time employees and no retention data available, there is insufficient evidence to assess [1]. Insider Buying (0/2): No evidence of meaningful insider buying; the recent approval of 46 million new shares at $0.50 each represents massive dilution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ATPC's financial profile reflects a deeply struggling micro-cap. D/E of 1.1% is excellent (nearly debt-free with $23M cash vs $248K debt), the only strong metric [3]. ROE is -21.6% due to four consecutive years of net losses totaling $8.5M against only $1.5M in annual revenue [3]. Revenue has collapsed from $5.7M in 2020 to $1.5M in 2025, yielding a catastrophic 5yr CAGR of -23.2% [1][3]. Profit margin is -182.6% — the company loses $2.28M on $1.52M revenue [3]. Forward P/E and PEG are unavailable due to negative earnings. Market cap of just $2.7M with 46M new shares authorized at $0.50 signals ongoing dilution risk [1]. Liquidity floor narrowly passes at $5.7M daily, though recent volume (31,060 shares) is far below the 2M average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ATPC shows limited evidence of infinite game thinking. The company is focused on survival — regaining Nasdaq compliance, authorizing massive share dilution, and exploring new revenue streams like green energy and oil trading while the core health business shrinks. Strategic decisions appear reactive rather than purpose-driven, and the frequent pivots to new segments suggest opportunism rather than a consistent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ATPC's health and wellness mission is articulated but shallow — 'promoting improved health and longevity' through nutritional products sounds purposeful but the network-marketing distribution model and recent pivot to oil trading with UAE-based Citadel Investment suggest revenue-seeking over mission commitment [1][2]. The pivot to green energy and digital wellness platforms, while potentially aligned with health/sustainability themes, appear to be survival diversification rather than cause-driven strategy. (1/3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18 full-time employees and a heavy reliance on 56,000+ independent distributors, ATPC has minimal internal organizational structure to evaluate for trust [1]. The network-marketing model inherently creates external contractor relationships rather than empowered teams. Multiple material weaknesses in internal controls over financial reporting suggest organizational governance challenges [1]. (0/2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ATPC acknowledging or learning from competitors in the Malaysian health and wellness market. The company's competitive positioning appears focused on its own product claims rather than any engagement with rival strengths or industry-wide improvement [2]. (0/1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ATPC has attempted multiple pivots — from health products to green energy to oil trading collaborations — but these appear to be survival-driven diversification rather than purposeful transformation [1]. Revenue continues to decline despite these new initiatives, suggesting the pivots have not yet validated as strategic evolution. The company is too young and too small to have successfully demonstrated true existential flexibility. (0/2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or principled strategic sacrifice. The decision to authorize 46 million new shares at $0.50 (when the stock trades at $2.74) prioritizes capital raising over existing shareholder value [1]. Leadership appears focused on maintaining Nasdaq listing compliance and funding operations rather than building long-term capability. (0/2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ATPC is a micro-cap Malaysia-based health and wellness company generating only $1.5M in annual revenue with 18 employees and a $2.7M market cap [1]. The bull case rests on the company's nearly debt-free balance sheet ($23M cash vs $248K debt), its established network of 56,000+ distributors and 72,000 members, and nascent expansion into green energy and digital wellness platforms [1]. Revenue grew 11.9% YoY in 2025 after a multi-year decline, suggesting the core business may be stabilizing. The collaboration with UAE-based Citadel Investment on oil trading could open a new revenue stream, and the company regained Nasdaq compliance in March 2026 [1][2].</w:t>
      </w:r>
    </w:p>
    <w:p>
      <w:pPr>
        <w:spacing w:after="120"/>
      </w:pPr>
      <w:r>
        <w:rPr>
          <w:rFonts w:ascii="Calibri" w:hAnsi="Calibri"/>
          <w:b w:val="0"/>
          <w:color w:val="3A4A28"/>
          <w:sz w:val="20"/>
        </w:rPr>
        <w:t>The bear case is overwhelming for an investment of this size and risk profile. Revenue has collapsed 73% from $5.7M in 2020 to $1.5M in 2025, the company has posted four consecutive years of net losses totaling $8.5M, and profit margin is -182.6% [1][3]. The authorization of 46 million new shares at $0.50 represents catastrophic dilution potential for a stock with a $2.7M market cap [1]. Material weaknesses in internal controls, concentrated supplier risk in Malaysia, limited insurance coverage, and the network-marketing business model all compound the risk. Recent daily trading volume of 31,060 shares vs the 2M average suggests the high average volume may be driven by periodic speculative bursts rather than genuine institutional interest. The company has no earnings, no analyst coverage, and no clear path to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revenue diversification through UAE oil trading collaboration with Citadel Investment and green energy segment expansion [1]</w:t>
      </w:r>
    </w:p>
    <w:p>
      <w:pPr>
        <w:spacing w:before="40" w:after="40"/>
        <w:ind w:left="283"/>
      </w:pPr>
      <w:r>
        <w:rPr>
          <w:rFonts w:ascii="Calibri" w:hAnsi="Calibri"/>
          <w:b/>
          <w:color w:val="4A6B25"/>
          <w:sz w:val="20"/>
        </w:rPr>
        <w:t xml:space="preserve">2. </w:t>
      </w:r>
      <w:r>
        <w:rPr>
          <w:rFonts w:ascii="Calibri" w:hAnsi="Calibri"/>
          <w:b w:val="0"/>
          <w:color w:val="3A4A28"/>
          <w:sz w:val="20"/>
        </w:rPr>
        <w:t>Core health business revenue stabilization — 11.9% YoY growth in 2025 after multi-year decline could signal a bottom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regained in March 2026, maintaining listing access for potential future capital raises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dilution risk — 46 million new shares authorized at $0.50 could more than double the share count on a $2.7M market cap [1]</w:t>
      </w:r>
    </w:p>
    <w:p>
      <w:pPr>
        <w:spacing w:before="40" w:after="40"/>
        <w:ind w:left="283"/>
      </w:pPr>
      <w:r>
        <w:rPr>
          <w:rFonts w:ascii="Calibri" w:hAnsi="Calibri"/>
          <w:b/>
          <w:color w:val="4A6B25"/>
          <w:sz w:val="20"/>
        </w:rPr>
        <w:t xml:space="preserve">2. </w:t>
      </w:r>
      <w:r>
        <w:rPr>
          <w:rFonts w:ascii="Calibri" w:hAnsi="Calibri"/>
          <w:b w:val="0"/>
          <w:color w:val="3A4A28"/>
          <w:sz w:val="20"/>
        </w:rPr>
        <w:t>Persistent operating losses with -182.6% profit margin and $1.2M negative free cash flow burning through the $23M cash reserve [3]</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trap — recent daily volume of only 31,060 shares makes position entry/exit extremely difficult despite the higher average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ATPC's core health and wellness network-marketing business is partially exposed to AI disruption — AI-powered health advisory apps and personalized nutrition platforms could bypass the human distributor model that is central to ATPC's revenue generation [2]. The physical products (ionized nutrients, supplements) themselves are not AI-replaceable, but the advisory and sales distribution layer faces substitution risk from AI health coaches and recommendation engines. The company's tiny scale (18 employees, $1.5M revenue) limits its ability to invest in defensive AI capabilities [1]. AI Opportunity (0/1): No evidence of AI product development or AI-generated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Agape ATP 10-K Annual Report 2025 — $1.5M revenue, $2.3M net loss, 56,465 distributors, material weaknesses, share authorization, via StockTitan</w:t>
      </w:r>
    </w:p>
    <w:p>
      <w:pPr>
        <w:spacing w:before="20" w:after="20"/>
        <w:ind w:left="170"/>
      </w:pPr>
      <w:r>
        <w:rPr>
          <w:rFonts w:ascii="Calibri" w:hAnsi="Calibri"/>
          <w:b/>
          <w:color w:val="4A6B25"/>
          <w:sz w:val="15"/>
        </w:rPr>
        <w:t xml:space="preserve">2. </w:t>
      </w:r>
      <w:r>
        <w:rPr>
          <w:rFonts w:ascii="Calibri" w:hAnsi="Calibri"/>
          <w:b w:val="0"/>
          <w:color w:val="3A4A28"/>
          <w:sz w:val="17"/>
        </w:rPr>
        <w:t>Agape ATP corporate website and press releases — mission, product lines, Citadel Investment collaboration, renewable energy expansion</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ATPC (Agape ATP Corporation),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