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AUB</w:t>
      </w:r>
      <w:r>
        <w:rPr>
          <w:rFonts w:ascii="Calibri" w:hAnsi="Calibri"/>
          <w:b/>
          <w:color w:val="1A2010"/>
          <w:sz w:val="40"/>
        </w:rPr>
        <w:t xml:space="preserve">  Atlantic Union Bankshares Corporation</w:t>
      </w:r>
    </w:p>
    <w:p>
      <w:pPr>
        <w:spacing w:after="120"/>
      </w:pPr>
      <w:r>
        <w:rPr>
          <w:rFonts w:ascii="Calibri" w:hAnsi="Calibri"/>
          <w:b/>
          <w:color w:val="6E8450"/>
          <w:sz w:val="18"/>
        </w:rPr>
        <w:t>DIVIDEND SLEEVE · 2026-05-03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Atlantic Union Bankshares Corporation is the holding company for Atlantic Union Bank, a community-focused bank founded in 1902 providing commercial and consumer banking, wealth management, treasury services, and mortgage banking across Virginia and the Carolinas. The company completed its transformative acquisition of Sandy Spring Bancorp in 2025, significantly expanding its Mid-Atlantic footprint.</w:t>
      </w:r>
    </w:p>
    <w:p>
      <w:r>
        <w:rPr>
          <w:rFonts w:ascii="Calibri" w:hAnsi="Calibri"/>
          <w:b/>
          <w:color w:val="6E8450"/>
          <w:sz w:val="18"/>
        </w:rPr>
        <w:t>3,034 Employees · https://www.atlanticunionbank.com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Atlantic Union completed the transformative Sandy Spring Bancorp acquisition in 2025, roughly doubling its asset base and expanding into the Washington D.C. metro market — a significant strategic move but an acquisition rather than organic innovation [1]. AI Deployment (0/2): No evidence of AI-powered products or measurable AI-driven cost savings. The bank offers standard digital banking and mobile app capabilities but has not deployed AI in customer-facing or operational processes in any publicly reported way [2]. Market Share (1/2): Atlantic Union is a meaningful regional player in Virginia with growing presence in the Carolinas and D.C. metro area post-Sandy Spring merger, but is not a category leader or fastest share gainer in regional banking [1]. Pipeline (1/2): Management articulated a clear organic growth strategy focused on demonstrating post-merger earnings power, with FY2029 revenue projected at $1.7B requiring 12% annual growth [1]. R&amp;D Intensity (1/1): Investment in digital banking platforms, mobile capabilities, and Debit Card Controls is consistent with regional bank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Atlantic Union Bank's core values — Caring, Courageous, and Committed — are specific and thoughtful, reflecting genuine intentionality about community banking. CEO Asbury has consistently articulated a vision of being the premier community bank in Virginia, and this purpose has guided strategic decisions including the Sandy Spring acquisition to strengthen the Mid-Atlantic franchise [2]. Community Impact (2/2): Atlantic Union Bank has deep community roots dating to 1902 in Virginia, with demonstrated community reinvestment programs, CRA compliance leadership, and a CSR/ESG program overseen by senior leadership including the CEO and CFO [3]. Employee Retention (1/2): Glassdoor rating of 4.1/5 with employees citing good culture, caring leaders, and a friendly work environment. The bank won Brandon Hall HCM Excellence Awards for Learning and Development two years running [2]. Insider Buying (1/2): Director Nancy Howell Agee purchased $25,382 in shares in April 2026, a modest but positive signal of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Atlantic Union's infrastructure profile is exceptionally strong on most metrics post-Sandy Spring merger. Forward P/E of 9.5x is well below the 20x target, scoring 1.0 [5]. Revenue growth of 86.2% YoY (acquisition-driven) and 26% 3yr CAGR both score 1.0 [5]. Profit margin of 24.7% exceeds the 20% target. ROE of 8.4% is the weakest metric, scoring 0.56 — typical for a bank still integrating a major acquisition [1]. Dividend metrics are solid: 20+ consecutive years of payment (score 1.0, 2x weight), 5yr dividend growth CAGR of 5.5% (score 0.93, 2x weight), and payout ratio of 60.7% (score 0.66) [5]. Consecutive years of growth at 5 scores 0.50. D/E excluded as not meaningful for bank holding companies. Liquidity floor cleared: 1.05M avg vol x $37.91 = $39.8M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Atlantic Union plays a largely infinite game rooted in 124 years of continuous community banking in Virginia. CEO John Asbury's 9+ year tenure, the bank's deep community roots, and values-driven culture (Caring, Courageous, Committed) demonstrate long-term orientation. The Sandy Spring acquisition represents courageous long-term capacity building, though the bank has not yet faced the kind of existential transformation test that would earn the highest marks.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Atlantic Union's purpose as a community-focused bank serving Virginia and the Mid-Atlantic since 1902 is genuine and connects banking to community building. CEO Asbury consistently references the bank's community mission in strategic decisions, and the Sandy Spring acquisition was framed as strengthening the ability to serve more communities rather than just growing assets [1][2]. The cause is real but not yet transformative in Sinek's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4.1/5 rating with employees citing caring leaders and friendly culture suggests adequate organizational trust [2]. The bank won Brandon Hall HCM Excellence Awards for Learning and Development, indicating investment in employee growth. CEO Asbury's 9+ year tenure provides leadership stability. However, no standout data on exceptional retention or psychological safety beyond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Atlantic Union competes against larger Mid-Atlantic banks (Truist, Bank of America) and uses their scale as motivation to differentiate through superior community service and relationship banking. CEO Asbury was elected ABA Chair for 2024-2025, suggesting industry respect and collaborative rather than combative competitive orientation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Sandy Spring Bancorp acquisition in 2025 was the most significant strategic move in Atlantic Union's recent history, roughly doubling its size and expanding into the D.C. metro market [1]. The name change from Union Bankshares to Atlantic Union in 2019 also signaled strategic evolution. These represent meaningful but incremental business model evolution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Sandy Spring acquisition required accepting integration risk, near-term ROE compression (8.4% currently), and execution complexity — a meaningful long-term bet on the D.C. metro market [1]. CEO Asbury committed to organic growth post-merger rather than chasing additional acquisitions, showing discipline. However, community banking acquisitions are a well-worn playbook rather than a courageous departure from convention.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Atlantic Union Bankshares is a 124-year-old Virginia-based community bank emerging from its transformative Sandy Spring Bancorp acquisition with significant earnings power upside. Q1 2026 results showed net interest income of $312M and diluted EPS of $0.84, with the integration track creating a clear path to improved efficiency [1]. At 9.5x forward P/E with a 3.75% dividend yield and 60.7% payout ratio, the stock offers compelling value for income investors. The expanded D.C. metro footprint from Sandy Spring significantly increases the bank's addressable market, and management projects $1.7B revenue by 2029 (12% annual growth) as organic growth accelerates post-integration [1]. CEO Asbury's election as ABA Chair validates his industry standing and the bank's strategic positioning.</w:t>
      </w:r>
    </w:p>
    <w:p>
      <w:pPr>
        <w:spacing w:after="120"/>
      </w:pPr>
      <w:r>
        <w:rPr>
          <w:rFonts w:ascii="Calibri" w:hAnsi="Calibri"/>
          <w:b w:val="0"/>
          <w:color w:val="3A4A28"/>
          <w:sz w:val="20"/>
        </w:rPr>
        <w:t>The bear case focuses on integration execution risk and a challenged ROE profile. ROE of 8.4% is well below the 15% target for banks, reflecting the dilutive impact of the Sandy Spring merger's goodwill and integration costs [5]. Revenue growth of 86.2% YoY is entirely acquisition-driven — organic growth must now prove out in a competitive Mid-Atlantic market. The CFPB fined Atlantic Union $6.2M in 2023 for illegally enrolling customers in overdraft programs, creating regulatory risk [3]. Regional bank stocks face persistent valuation pressure from commercial real estate exposure and interest rate sensitivity. The payout ratio of 60.7% is elevated and limits capital flexibility during the integration period. If the D.C. metro market proves harder to penetrate organically, the Sandy Spring premium may take longer than expected to justify.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Sandy Spring integration synergy realization — ROE improvement from 8.4% toward peer levels of 12-15% as integration costs roll off and efficiency gains materialize [1]</w:t>
      </w:r>
    </w:p>
    <w:p>
      <w:pPr>
        <w:spacing w:before="40" w:after="40"/>
        <w:ind w:left="283"/>
      </w:pPr>
      <w:r>
        <w:rPr>
          <w:rFonts w:ascii="Calibri" w:hAnsi="Calibri"/>
          <w:b/>
          <w:color w:val="4A6B25"/>
          <w:sz w:val="20"/>
        </w:rPr>
        <w:t xml:space="preserve">2. </w:t>
      </w:r>
      <w:r>
        <w:rPr>
          <w:rFonts w:ascii="Calibri" w:hAnsi="Calibri"/>
          <w:b w:val="0"/>
          <w:color w:val="3A4A28"/>
          <w:sz w:val="20"/>
        </w:rPr>
        <w:t>Organic loan and deposit growth in the D.C. metro market, the bank's largest new addressable market, as relationships convert post-merger [1]</w:t>
      </w:r>
    </w:p>
    <w:p>
      <w:pPr>
        <w:spacing w:before="40" w:after="40"/>
        <w:ind w:left="283"/>
      </w:pPr>
      <w:r>
        <w:rPr>
          <w:rFonts w:ascii="Calibri" w:hAnsi="Calibri"/>
          <w:b/>
          <w:color w:val="4A6B25"/>
          <w:sz w:val="20"/>
        </w:rPr>
        <w:t xml:space="preserve">3. </w:t>
      </w:r>
      <w:r>
        <w:rPr>
          <w:rFonts w:ascii="Calibri" w:hAnsi="Calibri"/>
          <w:b w:val="0"/>
          <w:color w:val="3A4A28"/>
          <w:sz w:val="20"/>
        </w:rPr>
        <w:t>Dividend growth continuation — the 5.5% CAGR trajectory with raised quarterly dividend to $0.37 signals management confidence in earnings power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merging Sandy Spring's operations, systems, and culture with Atlantic Union's could distract management and lead to customer attrition in overlapping markets [1]</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concentration typical of Mid-Atlantic community banks creates credit quality risk if office vacancy rates remain elevated post-pandemic [1]</w:t>
      </w:r>
    </w:p>
    <w:p>
      <w:pPr>
        <w:spacing w:before="40" w:after="40"/>
        <w:ind w:left="283"/>
      </w:pPr>
      <w:r>
        <w:rPr>
          <w:rFonts w:ascii="Calibri" w:hAnsi="Calibri"/>
          <w:b/>
          <w:color w:val="4A6B25"/>
          <w:sz w:val="20"/>
        </w:rPr>
        <w:t xml:space="preserve">3. </w:t>
      </w:r>
      <w:r>
        <w:rPr>
          <w:rFonts w:ascii="Calibri" w:hAnsi="Calibri"/>
          <w:b w:val="0"/>
          <w:color w:val="3A4A28"/>
          <w:sz w:val="20"/>
        </w:rPr>
        <w:t>Regulatory risk from the 2023 CFPB overdraft enforcement action ($6.2M fine) and potential for additional consumer compliance scrutiny under the current regulatory environment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Regional community banking is structurally protected from AI disruption. Atlantic Union's core business — relationship-driven commercial lending, wealth management, and deposit gathering — requires local market knowledge, relationship trust, and regulatory compliance that AI cannot replicate [2]. The bank's physical branch network, deep community ties since 1902, and regulated status create moats that AI tools cannot easily displace. While AI may improve back-office efficiency (fraud detection, underwriting automation), it does not threaten the core relationship banking model. Fintech competition exists but has not materially displaced community banks with strong deposit franchises. AI Opportunity (0/1): No evidence of AI-generated revenue streams. The bank has not deployed customer-facing AI products or reported AI-driven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Atlantic Union Bankshares Q1 2026 Earnings — $367.2M revenue (69% YoY growth), $0.84 diluted EPS, NII $312M, April 2026</w:t>
      </w:r>
    </w:p>
    <w:p>
      <w:pPr>
        <w:spacing w:before="20" w:after="20"/>
        <w:ind w:left="170"/>
      </w:pPr>
      <w:r>
        <w:rPr>
          <w:rFonts w:ascii="Calibri" w:hAnsi="Calibri"/>
          <w:b/>
          <w:color w:val="4A6B25"/>
          <w:sz w:val="15"/>
        </w:rPr>
        <w:t xml:space="preserve">2. </w:t>
      </w:r>
      <w:r>
        <w:rPr>
          <w:rFonts w:ascii="Calibri" w:hAnsi="Calibri"/>
          <w:b w:val="0"/>
          <w:color w:val="3A4A28"/>
          <w:sz w:val="17"/>
        </w:rPr>
        <w:t>Atlantic Union Bank corporate website — leadership team, CEO John Asbury, culture and values, digital banking capabilities,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Atlantic Union Bankshares ESG page and CFPB settlement disclosure — $6.2M fine for overdraft enrollment violations, 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AUB insider transactions,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AUB key statistics (P/E, ROE, margins, dividend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