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AUGO</w:t>
      </w:r>
      <w:r>
        <w:rPr>
          <w:rFonts w:ascii="Calibri" w:hAnsi="Calibri"/>
          <w:b/>
          <w:color w:val="1A2010"/>
          <w:sz w:val="40"/>
        </w:rPr>
        <w:t xml:space="preserve">  Aura Minerals Inc.</w:t>
      </w:r>
    </w:p>
    <w:p>
      <w:pPr>
        <w:spacing w:after="120"/>
      </w:pPr>
      <w:r>
        <w:rPr>
          <w:rFonts w:ascii="Calibri" w:hAnsi="Calibri"/>
          <w:b/>
          <w:color w:val="6E8450"/>
          <w:sz w:val="18"/>
        </w:rPr>
        <w:t>GROWTH SLEEVE · 2026-05-06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Aura Minerals Inc. is a gold and copper production company focused on the development and operation of precious and base metal projects in the Americas. It operates mines including Minosa, Apoena, Aranzazu, Almas, Borborema, and Serra Grande across Brazil, Mexico, and Honduras. The company is expanding aggressively with the Era Dorada project and recently listed on NASDAQ. Founded in 1946, headquartered in Coconut Grove, Florida.</w:t>
      </w:r>
    </w:p>
    <w:p>
      <w:r>
        <w:rPr>
          <w:rFonts w:ascii="Calibri" w:hAnsi="Calibri"/>
          <w:b/>
          <w:color w:val="6E8450"/>
          <w:sz w:val="18"/>
        </w:rPr>
        <w:t>5,000 Employees · https://www.auraminerals.com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Aura delivered record preliminary Q1 2026 output of 82,137 gold-equivalent ounces, a 37% year-over-year increase, with 2026 production guidance of 340-390K GEO representing a massive step-up from 2025's 280K GEO [1]. The Era Dorada project in Honduras adds an estimated 111,000 ounces annually with $382M capex, providing a visible multi-year growth runway [5]. The company has actively adopted AI and data analytics through a partnership with Indicium and Databricks, cutting data pipeline migration time by 87% and enabling AI-driven operational optimization across mines [3]. The dual NASDAQ/B3 listing strategy broadens capital market access and investor visibility.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Rodrigo Barbosa has led a genuine cultural transformation since 2017, dismantling hierarchical structures in favor of an 'inverted pyramid' where senior managers serve operational teams, a radical departure from traditional mining culture [4]. Glassdoor reviews reflect this with 80% of employees recommending the company, 4.2/5.0 for culture/values, and praise for the CEO's inclusive leadership style [4]. Aura's sustainability commitment is substantive — the 2024 report shows 90% adherence to World Gold Council Responsible Mining Principles, zero lost-time incidents at Borborema construction, and community water purification systems at Era Dorada [5][6].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Aura trades at a deeply discounted forward P/E of 5.9x, reflecting analyst expectations of a return to profitability in 2026 with consensus EPS of $2.01 for Q1 alone [1]. Revenue growth is exceptional at 87.5% YoY and 32.9% 3-year CAGR, driven by new mine ramp-ups and elevated gold prices [2]. However, negative ROE of -32.5% and profit margin of -8.6% reveal that the aggressive expansion phase has temporarily weighed on profitability — 2025 net loss was $79.3M versus 2023 net income of $31.9M [2]. Debt-to-equity of 161% reflects significant leverage for mine development, partially offset by $286M cash and $306M operating cash flow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Aura Minerals under CEO Barbosa displays strong infinite game characteristics through its cultural transformation, ESG-forward mine development, and community-centric approach that goes beyond typical mining industry norms. The inverted management pyramid and commitment to responsible mining principles suggest a company building for long-term stakeholder value. However, the aggressive expansion pace and current losses create tension between the long-term vision and near-term financial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Aura's vision of responsible mining that benefits communities is substantiated by concrete actions: purified water systems for communities near Era Dorada, zero lost-time incidents at Borborema, and UN Global Compact signatory status [5][6]. The mission extends beyond profit extraction to community development in Brazil, Mexico, and Honduras, where mining can be either exploitative or transformative. The cause is meaningful but industry-constrained.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inverted pyramid management philosophy, open-plan offices, and empowerment of middle managers to make decisions represent a genuine commitment to trust-based leadership [4]. Glassdoor scores of 4.2 for culture/values and 80% recommendation rate among 7 reviews, while limited in sample size, align with the stated philosophy. The CEO's personal involvement in driving inclusive, diverse teams reinforces the trust architecture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Aura explicitly positions itself against major gold producers like Barrick, Newmont, and Agnico Eagle, using their scale and operational excellence as benchmarks while differentiating through cultural innovation and ESG leadership [4]. The decision to list on NASDAQ alongside these larger peers signals a willingness to be measured against the best.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Aura has demonstrated strategic flexibility through geographic diversification (Brazil, Mexico, Honduras), the transition from single-asset to multi-mine operator, and the pivot to ESG-benchmark mining at Borborema using grey water and renewable energy [6]. The Era Dorada expansion into Honduras represents a meaningful new growth vector, though the company remains firmly within its mining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Barbosa's decision to completely restructure the company's organizational culture by dismantling mining industry hierarchy required genuine courage, as did the simultaneous pursuit of multiple large-scale mine developments (Borborema, Era Dorada) that created short-term losses [4]. The NASDAQ listing while already on B3 shows willingness to compete on a global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Aura Minerals represents a high-conviction growth story in mid-tier gold mining, trading at just 5.9x forward earnings with 2026 production guidance of 340-390K GEO — a 21-39% increase over 2025's 280K GEO [1]. Record Q1 2026 output of 82,137 GEO (+37% YoY) validates the production ramp, and consensus expects $2.01 EPS for Q1 alone, implying a dramatic return to profitability as new mines reach steady state [1]. CEO Barbosa's cultural transformation has created a differentiated organizational capability, while the ERA Dorada project provides a visible multi-year growth runway at an estimated 111K ounces annually [4][5]. The combination of gold price tailwinds, production growth, and depressed valuation creates compelling asymmetry for patient investors.</w:t>
      </w:r>
    </w:p>
    <w:p>
      <w:pPr>
        <w:spacing w:after="120"/>
      </w:pPr>
      <w:r>
        <w:rPr>
          <w:rFonts w:ascii="Calibri" w:hAnsi="Calibri"/>
          <w:b w:val="0"/>
          <w:color w:val="3A4A28"/>
          <w:sz w:val="20"/>
        </w:rPr>
        <w:t>The bear case centers on execution risk across multiple simultaneous mine developments — Era Dorada ($382M capex), Borborema ramp-up, and existing operations — while carrying 161% debt-to-equity and generating negative margins [2]. The 2025 net loss of $79.3M and negative ROE of -32.5% demonstrate that the growth strategy is currently destroying economic value, and any delays in production ramp-ups or decline in gold prices could extend the loss period [2]. Mining in Honduras and Brazil carries jurisdictional risk including permitting uncertainty, community opposition, and currency volatility. The limited NASDAQ trading history (recently listed) means price discovery is still evolving, and the small Glassdoor sample (7 reviews) provides limited confidence in cultural assessments. Gold price sensitivity is the dominant risk factor — a sustained decline below $2,000/oz would severely impair project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production guidance of 340-390K GEO with Q1 already tracking at annualized 328K, suggesting potential for guidance raise</w:t>
      </w:r>
    </w:p>
    <w:p>
      <w:pPr>
        <w:spacing w:before="40" w:after="40"/>
        <w:ind w:left="283"/>
      </w:pPr>
      <w:r>
        <w:rPr>
          <w:rFonts w:ascii="Calibri" w:hAnsi="Calibri"/>
          <w:b/>
          <w:color w:val="4A6B25"/>
          <w:sz w:val="20"/>
        </w:rPr>
        <w:t xml:space="preserve">2. </w:t>
      </w:r>
      <w:r>
        <w:rPr>
          <w:rFonts w:ascii="Calibri" w:hAnsi="Calibri"/>
          <w:b w:val="0"/>
          <w:color w:val="3A4A28"/>
          <w:sz w:val="20"/>
        </w:rPr>
        <w:t>Era Dorada project reaching construction milestones could drive significant re-rating as the market prices in 111K oz/yr of additional production</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in 2026 with consensus $2.01 Q1 EPS, potentially resetting the valuation narrative from loss-making to high-growth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ROE (-32.5%) and profit margins (-8.6%) reflect current losses from aggressive expansion; any delay in mine ramp-ups extends the loss period</w:t>
      </w:r>
    </w:p>
    <w:p>
      <w:pPr>
        <w:spacing w:before="40" w:after="40"/>
        <w:ind w:left="283"/>
      </w:pPr>
      <w:r>
        <w:rPr>
          <w:rFonts w:ascii="Calibri" w:hAnsi="Calibri"/>
          <w:b/>
          <w:color w:val="4A6B25"/>
          <w:sz w:val="20"/>
        </w:rPr>
        <w:t xml:space="preserve">2. </w:t>
      </w:r>
      <w:r>
        <w:rPr>
          <w:rFonts w:ascii="Calibri" w:hAnsi="Calibri"/>
          <w:b w:val="0"/>
          <w:color w:val="3A4A28"/>
          <w:sz w:val="20"/>
        </w:rPr>
        <w:t>Debt-to-equity of 161% and $382M Era Dorada capex create financial leverage risk, particularly if gold prices decline meaningfully</w:t>
      </w:r>
    </w:p>
    <w:p>
      <w:pPr>
        <w:spacing w:before="40" w:after="40"/>
        <w:ind w:left="283"/>
      </w:pPr>
      <w:r>
        <w:rPr>
          <w:rFonts w:ascii="Calibri" w:hAnsi="Calibri"/>
          <w:b/>
          <w:color w:val="4A6B25"/>
          <w:sz w:val="20"/>
        </w:rPr>
        <w:t xml:space="preserve">3. </w:t>
      </w:r>
      <w:r>
        <w:rPr>
          <w:rFonts w:ascii="Calibri" w:hAnsi="Calibri"/>
          <w:b w:val="0"/>
          <w:color w:val="3A4A28"/>
          <w:sz w:val="20"/>
        </w:rPr>
        <w:t>Jurisdictional risk across Brazil, Mexico, and Honduras including permitting, community relations, and currency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mining is fundamentally enhanced rather than disrupted by AI — applications in geological modeling, autonomous drilling, predictive maintenance, and resource estimation improve margins and reduce exploration risk [7]. Aura has proactively embraced this with its Indicium partnership, deploying Databricks-powered data infrastructure and an AI Migration Agent that reduced pipeline processing time by 87%, positioning the company ahead of mid-tier mining peers in digital maturity [3]. The physical nature of mining operations — extracting and processing ore from underground — creates an inherent barrier to pure digital disruption. The primary AI risk is that larger miners with deeper pockets could leverage AI-driven exploration to discover superior deposits faster, but Aura's multi-asset portfolio across three countries provides geographic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Aura Minerals Q1 2026 preliminary production results and analyst consensus, TradingView/Zacks,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AUGO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Indicium AI — Aura Minerals Data Platform Transformation with Databricks case study, 2025</w:t>
      </w:r>
    </w:p>
    <w:p>
      <w:pPr>
        <w:spacing w:before="20" w:after="20"/>
        <w:ind w:left="170"/>
      </w:pPr>
      <w:r>
        <w:rPr>
          <w:rFonts w:ascii="Calibri" w:hAnsi="Calibri"/>
          <w:b/>
          <w:color w:val="4A6B25"/>
          <w:sz w:val="15"/>
        </w:rPr>
        <w:t xml:space="preserve">4. </w:t>
      </w:r>
      <w:r>
        <w:rPr>
          <w:rFonts w:ascii="Calibri" w:hAnsi="Calibri"/>
          <w:b w:val="0"/>
          <w:color w:val="3A4A28"/>
          <w:sz w:val="17"/>
        </w:rPr>
        <w:t>CEO North America — Bringing a new management style to mining, interview with Rodrigo Barbosa</w:t>
      </w:r>
    </w:p>
    <w:p>
      <w:pPr>
        <w:spacing w:before="20" w:after="20"/>
        <w:ind w:left="170"/>
      </w:pPr>
      <w:r>
        <w:rPr>
          <w:rFonts w:ascii="Calibri" w:hAnsi="Calibri"/>
          <w:b/>
          <w:color w:val="4A6B25"/>
          <w:sz w:val="15"/>
        </w:rPr>
        <w:t xml:space="preserve">5. </w:t>
      </w:r>
      <w:r>
        <w:rPr>
          <w:rFonts w:ascii="Calibri" w:hAnsi="Calibri"/>
          <w:b w:val="0"/>
          <w:color w:val="3A4A28"/>
          <w:sz w:val="17"/>
        </w:rPr>
        <w:t>Yahoo Finance — Can Aura Minerals Turn Era Dorada Into a Growth Engine and ESG Proof Point, 2026</w:t>
      </w:r>
    </w:p>
    <w:p>
      <w:pPr>
        <w:spacing w:before="20" w:after="20"/>
        <w:ind w:left="170"/>
      </w:pPr>
      <w:r>
        <w:rPr>
          <w:rFonts w:ascii="Calibri" w:hAnsi="Calibri"/>
          <w:b/>
          <w:color w:val="4A6B25"/>
          <w:sz w:val="15"/>
        </w:rPr>
        <w:t xml:space="preserve">6. </w:t>
      </w:r>
      <w:r>
        <w:rPr>
          <w:rFonts w:ascii="Calibri" w:hAnsi="Calibri"/>
          <w:b w:val="0"/>
          <w:color w:val="3A4A28"/>
          <w:sz w:val="17"/>
        </w:rPr>
        <w:t>Aura Minerals 2024 Sustainability Report, StockTitan, 2025</w:t>
      </w:r>
    </w:p>
    <w:p>
      <w:pPr>
        <w:spacing w:before="20" w:after="20"/>
        <w:ind w:left="170"/>
      </w:pPr>
      <w:r>
        <w:rPr>
          <w:rFonts w:ascii="Calibri" w:hAnsi="Calibri"/>
          <w:b/>
          <w:color w:val="4A6B25"/>
          <w:sz w:val="15"/>
        </w:rPr>
        <w:t xml:space="preserve">7. </w:t>
      </w:r>
      <w:r>
        <w:rPr>
          <w:rFonts w:ascii="Calibri" w:hAnsi="Calibri"/>
          <w:b w:val="0"/>
          <w:color w:val="3A4A28"/>
          <w:sz w:val="17"/>
        </w:rPr>
        <w:t>Nature Communications — AI investments reduce risks to critical mineral supply,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