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AU</w:t>
      </w:r>
      <w:r>
        <w:rPr>
          <w:rFonts w:ascii="Calibri" w:hAnsi="Calibri"/>
          <w:b/>
          <w:color w:val="1A2010"/>
          <w:sz w:val="40"/>
        </w:rPr>
        <w:t xml:space="preserve">  AngloGold Ashanti plc</w:t>
      </w:r>
    </w:p>
    <w:p>
      <w:pPr>
        <w:spacing w:after="120"/>
      </w:pPr>
      <w:r>
        <w:rPr>
          <w:rFonts w:ascii="Calibri" w:hAnsi="Calibri"/>
          <w:b/>
          <w:color w:val="6E8450"/>
          <w:sz w:val="18"/>
        </w:rPr>
        <w:t>DIVIDEND SLEEVE · 2026-04-09 · Inspire: 30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NYSE · United States</w:t>
      </w:r>
    </w:p>
    <w:p>
      <w:pPr>
        <w:spacing w:after="80"/>
      </w:pPr>
      <w:r>
        <w:rPr>
          <w:rFonts w:ascii="Calibri" w:hAnsi="Calibri"/>
          <w:b w:val="0"/>
          <w:color w:val="3A4A28"/>
          <w:sz w:val="20"/>
        </w:rPr>
        <w:t>AngloGold Ashanti is a global gold mining company operating across Africa, Australia, and the Americas. The company's flagship properties include Geita (Tanzania), Obuasi (Ghana), Tropicana (Australia), and operations in Brazil and Colombia. Incorporated in 1944 and redomiciled to the U.S. in 2023, it produces approximately 2.8-3.2 million ounces of gold annually.</w:t>
      </w:r>
    </w:p>
    <w:p>
      <w:r>
        <w:rPr>
          <w:rFonts w:ascii="Calibri" w:hAnsi="Calibri"/>
          <w:b/>
          <w:color w:val="6E8450"/>
          <w:sz w:val="18"/>
        </w:rPr>
        <w:t>38,000 Employees · https://www.anglogoldashanti.com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AngloGold Ashanti executed a transformative redomiciliation from South Africa to the U.S. in 2023 and completed the acquisition of Egyptian gold assets, while achieving record production and tripling net income to $2.64B in 2025 [1][2]. Revenue surged 75.3% YoY to $9.89B driven by gold price tailwinds and operational improvements at Obuasi. AI Deployment (0/2): No evidence of AI-powered products or quantified AI-driven operational savings; mining industry AI adoption is growing but AngloGold has not disclosed specific AI implementations or measurable results [4]. Market Share (2/2): AngloGold Ashanti is one of the world's largest gold producers with 2.8-3.2M ounces annual production, a top-5 global position, with Obuasi targeting 300,000+ ounces and plans to add 300,000-450,000 ounces over three years [1]. Pipeline (1/2): Clear growth pipeline with Obuasi ramp-up, the Expanded Silicon project in Nevada, and Egypt acquisitions providing production visibility, though timelines on next-gen mining technology are vague [1]. R&amp;D Intensity (1/1): Mining R&amp;D spending on exploration ($150M+ annually) and mine development is above average for the sector, with significant capital allocation to brownfield and greenfield expansion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AngloGold Ashanti's stated purpose — 'Mining to empower people and advance societies' — was developed through a comprehensive culture assessment in 2021 and subsequent values refresh in 2023 [4]. This is specific, intentional, and differentiating for a mining company, connecting extraction to societal benefit. It has not yet been validated through decades of execution under this framing. Community Impact (2/2): The company implements 10-year socioeconomic development programs at key sites like Obuasi, focusing on local procurement, skills development, agriculture, and enterprise development [5]. Across 38,000 employees in multiple developing countries, community impact is substantial and measurable. Employee Retention (1/2): Glassdoor rating of 4.2/5 from 629 reviews is strong for a mining company, and the culture transformation journey launched in 2021 with refreshed values in 2023 suggests leadership attention to employee experience [4]. No specific retention metrics disclosed. Insider Buying (0/2): No evidence of meaningful net insider buying in recent periods; CEO Alberto Calderon's compensation is equity-heavy but no open-market purchases were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AngloGold Ashanti's financial profile is exceptional following the gold price surge. D/E of 23.0% reflects a conservatively leveraged balance sheet for a capital-intensive miner [6]. ROE of 34.4% and profit margin of 26.6% demonstrate strong profitability at current gold prices [6]. Revenue grew 75.3% YoY to $9.89B with record free cash flow of $2.9B in 2025, nearly tripling the prior year [1]. Forward P/E of 11.0x is compelling for a company with this growth profile. Payout ratio of 48.8% is slightly above the 40% target but sustainable given cash flow strength. Dividends have been paid for 10+ consecutive years with 2 years of consecutive growth and a massive 5yr CAGR of ~47% driven by the recent dividend hike [6]. Liquidity floor easily cleared at $346M daily volume (3.2M avg vol × $107.42)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AngloGold Ashanti demonstrates meaningful infinite game characteristics under CEO Alberto Calderon's leadership, particularly through the redomiciliation to the U.S. (existential flexibility) and the purpose-driven culture transformation. The company plays to endure across gold price cycles, with 80+ years of operating history and a genuine commitment to long-term community development at mine sites.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AngloGold's purpose — 'Mining to empower people and advance societies' — is genuine and partially lived. The 2021 culture assessment and 2023 values refresh demonstrate intentional purpose work, and the 10-year community development programs at sites like Obuasi show the cause being executed operationally [4][5]. However, this purpose framing is relatively new (2023) and has not yet been tested through a gold price downturn or major crisis under this articulation. 2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Glassdoor's 4.2/5 rating from 629 reviews is above average for the mining sector, and the deliberate culture transformation journey (launched 2021, values refreshed 2023) signals leadership investment in organizational trust [4]. With 38,000 employees across Africa, Australia, and the Americas, maintaining cultural consistency is challenging. No specific evidence of exceptional empowerment or psychological safety, but stable leadership under Calderon since 2021 and no reported cultural crises. 1 point.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AngloGold Ashanti operates alongside Newmont, Barrick Gold, and Gold Fields — companies whose operational excellence in specific areas (Barrick's cost discipline, Newmont's scale) push AngloGold to improve. Management commentary focuses on operational improvement and production optimization rather than 'beating' competitors, and the redomiciliation decision was framed as self-improvement (better capital market access) rather than competitive warfare [1]. 1 point.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2023 redomiciliation from South Africa to the United States was a transformative strategic pivot — abandoning AngloGold's historical identity as a South African mining company to gain U.S. capital market access, index inclusion, and a broader investor base [1][4]. This was a bold, painful decision that required shareholder approval across multiple jurisdictions and fundamentally changed the company's corporate identity in service of long-term competitiveness. 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Calderon's leadership shows some courage: the redomiciliation was unpopular in South Africa but strategically sound, and the company maintained significant growth capex ($785-835M guided for 2026) even during uncertain commodity price periods [1]. The Obuasi mine restart after years of closure required patient capital allocation. However, AngloGold's record results in 2025 were largely driven by gold price appreciation rather than counter-cyclical courage. 1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AngloGold Ashanti is a top-5 global gold producer delivering exceptional financial results driven by gold price strength and operational execution. Revenue surged 75.3% to $9.89B in 2025 with net income tripling to $2.64B and record free cash flow of $2.9B [1]. At 11.0x forward P/E with a 3.96% dividend yield and 23% D/E, the stock offers compelling value for a company with this growth profile and balance sheet strength [6]. The production growth pipeline — Obuasi ramp to 300,000+ ounces, plus 300,000-450,000 ounces of incremental annual production over three years — provides visible organic growth catalysts [1]. The 2023 U.S. redomiciliation has unlocked index inclusion and institutional investor access, structurally expanding the shareholder base. Gold's role as an inflation hedge and safe haven asset provides macro tailwinds in the current environment.</w:t>
      </w:r>
    </w:p>
    <w:p>
      <w:pPr>
        <w:spacing w:after="120"/>
      </w:pPr>
      <w:r>
        <w:rPr>
          <w:rFonts w:ascii="Calibri" w:hAnsi="Calibri"/>
          <w:b w:val="0"/>
          <w:color w:val="3A4A28"/>
          <w:sz w:val="20"/>
        </w:rPr>
        <w:t>The bear case centers on gold price cyclicality and operational concentration risks. AngloGold's record 2025 results were heavily driven by gold prices above $2,500/oz; a reversion to $1,800-2,000/oz would compress margins and potentially halve free cash flow [1]. Mining operations in Ghana (Obuasi), Tanzania (Geita), and Colombia carry political, regulatory, and community relations risks — the company discloses tailings incidents, wastewater issues, and permitting challenges across its portfolio [5]. Payout ratio of 48.8% is slightly elevated, and the massive recent dividend increase may not be sustainable if gold prices normalize. The 5yr dividend CAGR of ~47% reflects catch-up from prior cuts (dividends were suspended 2014-2016) rather than steady compounding. Capital-intensive growth spending of $785-835M in 2026 creates execution risk on new projects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Obuasi mine ramp-up targeting 300,000+ ounces annually with potential to add 300,000-450,000 incremental ounces across the portfolio over three years [1]</w:t>
      </w:r>
    </w:p>
    <w:p>
      <w:pPr>
        <w:spacing w:before="40" w:after="40"/>
        <w:ind w:left="283"/>
      </w:pPr>
      <w:r>
        <w:rPr>
          <w:rFonts w:ascii="Calibri" w:hAnsi="Calibri"/>
          <w:b/>
          <w:color w:val="4A6B25"/>
          <w:sz w:val="20"/>
        </w:rPr>
        <w:t xml:space="preserve">2. </w:t>
      </w:r>
      <w:r>
        <w:rPr>
          <w:rFonts w:ascii="Calibri" w:hAnsi="Calibri"/>
          <w:b w:val="0"/>
          <w:color w:val="3A4A28"/>
          <w:sz w:val="20"/>
        </w:rPr>
        <w:t>Record free cash flow of $2.9B in 2025 enables accelerated debt reduction, dividend growth, and growth capex simultaneously [1]</w:t>
      </w:r>
    </w:p>
    <w:p>
      <w:pPr>
        <w:spacing w:before="40" w:after="40"/>
        <w:ind w:left="283"/>
      </w:pPr>
      <w:r>
        <w:rPr>
          <w:rFonts w:ascii="Calibri" w:hAnsi="Calibri"/>
          <w:b/>
          <w:color w:val="4A6B25"/>
          <w:sz w:val="20"/>
        </w:rPr>
        <w:t xml:space="preserve">3. </w:t>
      </w:r>
      <w:r>
        <w:rPr>
          <w:rFonts w:ascii="Calibri" w:hAnsi="Calibri"/>
          <w:b w:val="0"/>
          <w:color w:val="3A4A28"/>
          <w:sz w:val="20"/>
        </w:rPr>
        <w:t>Gold price tailwinds from central bank buying, geopolitical uncertainty, and inflation hedging demand support continued revenue strength above $2,500/oz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Gold price cyclicality — a reversion from $2,500+/oz to $1,800-2,000/oz would compress margins materially and jeopardize the current dividend level [1]</w:t>
      </w:r>
    </w:p>
    <w:p>
      <w:pPr>
        <w:spacing w:before="40" w:after="40"/>
        <w:ind w:left="283"/>
      </w:pPr>
      <w:r>
        <w:rPr>
          <w:rFonts w:ascii="Calibri" w:hAnsi="Calibri"/>
          <w:b/>
          <w:color w:val="4A6B25"/>
          <w:sz w:val="20"/>
        </w:rPr>
        <w:t xml:space="preserve">2. </w:t>
      </w:r>
      <w:r>
        <w:rPr>
          <w:rFonts w:ascii="Calibri" w:hAnsi="Calibri"/>
          <w:b w:val="0"/>
          <w:color w:val="3A4A28"/>
          <w:sz w:val="20"/>
        </w:rPr>
        <w:t>Operational and political risk across African mining jurisdictions, including tailings incidents in Ghana, wastewater issues in Brazil, and permitting challenges in Colombia [5]</w:t>
      </w:r>
    </w:p>
    <w:p>
      <w:pPr>
        <w:spacing w:before="40" w:after="40"/>
        <w:ind w:left="283"/>
      </w:pPr>
      <w:r>
        <w:rPr>
          <w:rFonts w:ascii="Calibri" w:hAnsi="Calibri"/>
          <w:b/>
          <w:color w:val="4A6B25"/>
          <w:sz w:val="20"/>
        </w:rPr>
        <w:t xml:space="preserve">3. </w:t>
      </w:r>
      <w:r>
        <w:rPr>
          <w:rFonts w:ascii="Calibri" w:hAnsi="Calibri"/>
          <w:b w:val="0"/>
          <w:color w:val="3A4A28"/>
          <w:sz w:val="20"/>
        </w:rPr>
        <w:t>Capital-intensive growth pipeline ($785-835M capex in 2026) creates execution risk, and historic dividend volatility (suspended 2014-2016) undermines income reliability [1][6]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Gold mining is structurally immune to AI disruption — AI cannot substitute for the physical extraction, processing, and refining of gold from underground and open-pit mines [4]. AngloGold Ashanti's operations involve heavy machinery, geological expertise, and regulatory-intensive processes across multiple jurisdictions that AI cannot replace. Furthermore, AI's explosive growth is increasing demand for data center infrastructure, which requires gold for electronic components, potentially benefiting gold demand [4]. The company's moat is physical assets (proven reserves) and mining permits, not software or services vulnerable to digital disruption. AI Opportunity (0/1): While 66% of mining companies report using AI (per S&amp;P Global), AngloGold has not disclosed specific AI-generated revenue or quantified AI-driven cost savings from its operations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AngloGold Ashanti Q4/FY2025 Earnings Release — record $9.89B revenue, $2.64B net income, $2.9B FCF, February 2026</w:t>
      </w:r>
    </w:p>
    <w:p>
      <w:pPr>
        <w:spacing w:before="20" w:after="20"/>
        <w:ind w:left="170"/>
      </w:pPr>
      <w:r>
        <w:rPr>
          <w:rFonts w:ascii="Calibri" w:hAnsi="Calibri"/>
          <w:b/>
          <w:color w:val="4A6B25"/>
          <w:sz w:val="15"/>
        </w:rPr>
        <w:t xml:space="preserve">2. </w:t>
      </w:r>
      <w:r>
        <w:rPr>
          <w:rFonts w:ascii="Calibri" w:hAnsi="Calibri"/>
          <w:b w:val="0"/>
          <w:color w:val="3A4A28"/>
          <w:sz w:val="17"/>
        </w:rPr>
        <w:t>AngloGold Ashanti 2026 Production Guidance — 2.8-3.17M ounces, $1,335-$1,455/oz cash costs, TipRanks/Globe and Mail coverage</w:t>
      </w:r>
    </w:p>
    <w:p>
      <w:pPr>
        <w:spacing w:before="20" w:after="20"/>
        <w:ind w:left="170"/>
      </w:pPr>
      <w:r>
        <w:rPr>
          <w:rFonts w:ascii="Calibri" w:hAnsi="Calibri"/>
          <w:b/>
          <w:color w:val="4A6B25"/>
          <w:sz w:val="15"/>
        </w:rPr>
        <w:t xml:space="preserve">3. </w:t>
      </w:r>
      <w:r>
        <w:rPr>
          <w:rFonts w:ascii="Calibri" w:hAnsi="Calibri"/>
          <w:b w:val="0"/>
          <w:color w:val="3A4A28"/>
          <w:sz w:val="17"/>
        </w:rPr>
        <w:t>StocksToTrade — AngloGold Ashanti record earnings, cash flow, and dividend hike analysis, February 2026</w:t>
      </w:r>
    </w:p>
    <w:p>
      <w:pPr>
        <w:spacing w:before="20" w:after="20"/>
        <w:ind w:left="170"/>
      </w:pPr>
      <w:r>
        <w:rPr>
          <w:rFonts w:ascii="Calibri" w:hAnsi="Calibri"/>
          <w:b/>
          <w:color w:val="4A6B25"/>
          <w:sz w:val="15"/>
        </w:rPr>
        <w:t xml:space="preserve">4. </w:t>
      </w:r>
      <w:r>
        <w:rPr>
          <w:rFonts w:ascii="Calibri" w:hAnsi="Calibri"/>
          <w:b w:val="0"/>
          <w:color w:val="3A4A28"/>
          <w:sz w:val="17"/>
        </w:rPr>
        <w:t>AngloGold Ashanti Company Website — leadership, culture transformation, purpose statement, Glassdoor reviews (4.2/5)</w:t>
      </w:r>
    </w:p>
    <w:p>
      <w:pPr>
        <w:spacing w:before="20" w:after="20"/>
        <w:ind w:left="170"/>
      </w:pPr>
      <w:r>
        <w:rPr>
          <w:rFonts w:ascii="Calibri" w:hAnsi="Calibri"/>
          <w:b/>
          <w:color w:val="4A6B25"/>
          <w:sz w:val="15"/>
        </w:rPr>
        <w:t xml:space="preserve">5. </w:t>
      </w:r>
      <w:r>
        <w:rPr>
          <w:rFonts w:ascii="Calibri" w:hAnsi="Calibri"/>
          <w:b w:val="0"/>
          <w:color w:val="3A4A28"/>
          <w:sz w:val="17"/>
        </w:rPr>
        <w:t>AngloGold Ashanti ESG Transparency Hub and SEC 20-F Filing — tailings, environmental, community development programs</w:t>
      </w:r>
    </w:p>
    <w:p>
      <w:pPr>
        <w:spacing w:before="20" w:after="20"/>
        <w:ind w:left="170"/>
      </w:pPr>
      <w:r>
        <w:rPr>
          <w:rFonts w:ascii="Calibri" w:hAnsi="Calibri"/>
          <w:b/>
          <w:color w:val="4A6B25"/>
          <w:sz w:val="15"/>
        </w:rPr>
        <w:t xml:space="preserve">6. </w:t>
      </w:r>
      <w:r>
        <w:rPr>
          <w:rFonts w:ascii="Calibri" w:hAnsi="Calibri"/>
          <w:b w:val="0"/>
          <w:color w:val="3A4A28"/>
          <w:sz w:val="17"/>
        </w:rPr>
        <w:t>Yahoo Finance / yfinance data for AU (AngloGold Ashanti),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