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AVAV</w:t>
      </w:r>
      <w:r>
        <w:rPr>
          <w:rFonts w:ascii="Calibri" w:hAnsi="Calibri"/>
          <w:b/>
          <w:color w:val="1A2010"/>
          <w:sz w:val="40"/>
        </w:rPr>
        <w:t xml:space="preserve">  AeroVironment, Inc.</w:t>
      </w:r>
    </w:p>
    <w:p>
      <w:pPr>
        <w:spacing w:after="120"/>
      </w:pPr>
      <w:r>
        <w:rPr>
          <w:rFonts w:ascii="Calibri" w:hAnsi="Calibri"/>
          <w:b/>
          <w:color w:val="6E8450"/>
          <w:sz w:val="18"/>
        </w:rPr>
        <w:t>GROWTH SLEEVE · 2026-04-21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AeroVironment designs, develops, produces, and supports robotic systems for defense and commercial applications. The company operates in Autonomous Systems (small/medium UAS, loitering munitions including Switchblade, counter-UAS systems) and Space, Cyber and Directed Energy (digital beamforming, laser communications, phased array antennas). Products include the Switchblade precision strike system, Puma and Raven small UAS, JUMP 20 medium UAS, and the AI-powered AV_Halo software platform.</w:t>
      </w:r>
    </w:p>
    <w:p>
      <w:r>
        <w:rPr>
          <w:rFonts w:ascii="Calibri" w:hAnsi="Calibri"/>
          <w:b/>
          <w:color w:val="6E8450"/>
          <w:sz w:val="18"/>
        </w:rPr>
        <w:t>1,456 Employees · https://www.avinc.com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AeroVironment has transformed from a small UAS niche player into a full-spectrum defense robotics company through the Switchblade loitering munition's combat-proven performance in Ukraine, the acquisition of Tomahawk Robotics (AI-enabled robotic control), and expansion into space and directed energy — driving eightfold revenue growth under CEO Nawabi [1][2][3]. AI Deployment (2/2): AV_Halo is an AI-powered modular software suite deployed to warfighters enabling full-battlefield dominance, and HaloCortex OSINT provides AI-powered intelligence analysis for DoD and commercial customers — both generating revenue from deployed AI products [3]. Market Share (2/2): AeroVironment dominates the small UAS and tactical loitering munition markets with Switchblade becoming the definitive precision strike system for modern warfare, deployed across 50+ allied nations with a $4.6B year-to-date order pipeline [1][3]. Pipeline (1/2): JUMP 20 medium UAS expansion, directed energy systems, and next-gen Switchblade variants are in development, though the SCAR program termination by US Space Force removes one growth vector [1]. R&amp;D Intensity (0/1): R&amp;D spending is meaningful but embedded within overall operating expenses typical of defense contractors; not top-quartile relative to pure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AeroVironment's purpose — 'redefining the future of unmanned systems across all domains' to protect warfighters and enable mission success — is specific to defense technology but functionally oriented rather than aspirationally transformative [3]. Community Impact (1/2): AeroVironment's CSR reports detail environmental management, trade compliance, and anti-corruption programs, but specific charitable programs or community investment dollar amounts are limited for a 1,456-person company [4]. Employee Retention (1/2): CEO Wahid Nawabi's tenure has driven cultural reinvention and Glassdoor reviews note world-class engineering talent, though growing pains with internal communication and resource allocation have been flagged as the company scales rapidly [3]. Insider Buying (2/2): CEO Nawabi has significant equity exposure and has presided over eightfold revenue growth; the company's senior leadership has maintained equity positions through the stock's volatile journey from the $142 low to $418 high and back to $197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AeroVironment's financial profile reflects explosive revenue growth offset by acquisition-related charges and margin compression. FY2026 revenue guidance of $1.85-$1.95B represents massive growth from $820.6M in FY2025, driven by Switchblade demand and the Tomahawk Robotics integration [1][5]. Q3 FY2026 revenue increased 143% YoY, and organic growth was 38% — extraordinary in defense. However, TTM profit margin is -13.9% and ROE is -8.7%, both negative due to acquisition amortization and integration costs, scoring zero [5]. D/E of 19.3% is very conservative. Forward P/E of 48.7x is elevated for a defense company, reflecting the market pricing significant future growth. PEG of 1.57 is moderate. The 3-year revenue CAGR of 22.6% is strong. Funded backlog of $1.1B and year-to-date awards of $4.6B provide exceptional revenue visibility [1]. Liquidity floor easily cleared: 1.67M avg vol x $197.23 = $330.1M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AeroVironment under CEO Nawabi demonstrates strong infinite game characteristics — the company has fundamentally reinvented itself from a small UAS niche player into a multi-domain defense robotics leader, investing through uncertainty to build capabilities that competitors cannot easily replicate. The acquisition of Tomahawk Robotics for AI-enabled control and the development of AV_Halo show strategic vision beyond next-quarter earnings. However, as a defense contractor, the company's mission is inherently tied to government spending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AeroVironment's cause — protecting warfighters by redefining unmanned systems to enable mission success — is distinctive and has been validated by Switchblade's combat performance in Ukraine, where the technology demonstrably saved lives and changed warfare doctrine [1][3]. The company was founded in 1971 and has survived 55 years of defense cycles, with CEO Nawabi's strategic reinvention since 2016 adding transformative depth to the original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AeroVironment as having world-class engineering talent with a culture that encourages collaboration, though growing pains from rapid scaling (eightfold revenue growth) have created communication and resource allocation challenges [3]. The company acknowledges these issues and is working to improve organizational processes, suggesting self-awareness but not yet a high-trust culture at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AeroVironment operates in a competitive landscape alongside L3Harris, Northrop Grumman, and Kratos Defense in the UAS/loitering munition space [3]. The company's strategic acquisitions (Tomahawk Robotics for AI control, Arcturus for medium UAS) demonstrate awareness of rivals' capabilities and a willingness to acquire strengths rather than assume internal superiority in every domain.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AeroVironment has executed one of the most dramatic transformations in defense — from a small UAS company with ~$445M in FY2022 revenue to a multi-domain robotics platform guiding $1.85-$1.95B in FY2026 [1][5]. The expansion from reconnaissance UAS into precision strike (Switchblade), counter-UAS, AI-powered command systems (AV_Halo), space and directed energy, and ground robotics represents a fundamental reinvention of the company's identity and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Nawabi made bold bets on Switchblade production capacity before demand materialized in Ukraine, and acquired Tomahawk Robotics to build AI capabilities organically rather than wait for the technology to mature [1][3]. The willingness to accept negative GAAP margins during the integration period while investing in long-term capability shows prioritization of future strength over current earnings appearance.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AeroVironment is the dominant player in tactical loitering munitions and small UAS, riding a generational demand cycle driven by Ukraine, rising NATO defense budgets, and the global shift toward autonomous warfare [1]. FY2026 revenue guidance of $1.85-$1.95B (up 125%+ from FY2025's $820.6M) with $4.6B in year-to-date awards and $1.1B funded backlog provides exceptional multi-year visibility [1]. The Switchblade system has become the gold standard for precision strike in modern warfare, deployed across 50+ allied nations. CEO Nawabi has driven eightfold revenue growth and built a multi-domain platform (UAS, counter-UAS, AI software, space/directed energy) that positions AeroVironment as the defense robotics platform company of the next decade [3]. D/E of just 19.3% provides balance sheet flexibility for continued M&amp;A and organic investment.</w:t>
      </w:r>
    </w:p>
    <w:p>
      <w:pPr>
        <w:spacing w:after="120"/>
      </w:pPr>
      <w:r>
        <w:rPr>
          <w:rFonts w:ascii="Calibri" w:hAnsi="Calibri"/>
          <w:b w:val="0"/>
          <w:color w:val="3A4A28"/>
          <w:sz w:val="20"/>
        </w:rPr>
        <w:t>The bear case centers on valuation and profitability concerns. At 48.7x forward P/E, AeroVironment is priced like a high-growth tech company rather than a defense contractor, requiring sustained exceptional execution to avoid multiple compression [5]. GAAP profitability is currently negative (profit margin -13.9%, ROE -8.7%) due to Tomahawk Robotics integration costs and acquisition amortization — adjusted metrics look better but GAAP losses are real [5]. The SCAR program termination by US Space Force removed one growth vector and highlights the risk of government contract dependency. The stock has declined 53% from its $417.86 52-week high, suggesting the market is repricing growth expectations. Defense spending is ultimately subject to political cycles, and a potential shift in US policy toward reduced military engagement could slow order growth. Free cash flow was -$304M TTM, and Switchblade production scale-up carries execution risk as the company more than doubles revenue in a single year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$1.85-$1.95B with $4.6B in year-to-date awards, implying multi-year backlog and continued order momentum from NATO and allied nations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expected as Tomahawk Robotics integration costs normalize and Switchblade production achieves full-rate efficiency [1]</w:t>
      </w:r>
    </w:p>
    <w:p>
      <w:pPr>
        <w:spacing w:before="40" w:after="40"/>
        <w:ind w:left="283"/>
      </w:pPr>
      <w:r>
        <w:rPr>
          <w:rFonts w:ascii="Calibri" w:hAnsi="Calibri"/>
          <w:b/>
          <w:color w:val="4A6B25"/>
          <w:sz w:val="20"/>
        </w:rPr>
        <w:t xml:space="preserve">3. </w:t>
      </w:r>
      <w:r>
        <w:rPr>
          <w:rFonts w:ascii="Calibri" w:hAnsi="Calibri"/>
          <w:b w:val="0"/>
          <w:color w:val="3A4A28"/>
          <w:sz w:val="20"/>
        </w:rPr>
        <w:t>AV_Halo AI platform and HaloCortex OSINT expansion into additional defense and commercial customers, driving software-like recurring revenue on top of hardware sales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at 48.7x forward P/E creates multiple compression risk if revenue growth decelerates or profitability improvement is delayed [5]</w:t>
      </w:r>
    </w:p>
    <w:p>
      <w:pPr>
        <w:spacing w:before="40" w:after="40"/>
        <w:ind w:left="283"/>
      </w:pPr>
      <w:r>
        <w:rPr>
          <w:rFonts w:ascii="Calibri" w:hAnsi="Calibri"/>
          <w:b/>
          <w:color w:val="4A6B25"/>
          <w:sz w:val="20"/>
        </w:rPr>
        <w:t xml:space="preserve">2. </w:t>
      </w:r>
      <w:r>
        <w:rPr>
          <w:rFonts w:ascii="Calibri" w:hAnsi="Calibri"/>
          <w:b w:val="0"/>
          <w:color w:val="3A4A28"/>
          <w:sz w:val="20"/>
        </w:rPr>
        <w:t>SCAR program termination and single-customer concentration risk — US DoD and allied military budgets are subject to political cycles and budget sequestration [1]</w:t>
      </w:r>
    </w:p>
    <w:p>
      <w:pPr>
        <w:spacing w:before="40" w:after="40"/>
        <w:ind w:left="283"/>
      </w:pPr>
      <w:r>
        <w:rPr>
          <w:rFonts w:ascii="Calibri" w:hAnsi="Calibri"/>
          <w:b/>
          <w:color w:val="4A6B25"/>
          <w:sz w:val="20"/>
        </w:rPr>
        <w:t xml:space="preserve">3. </w:t>
      </w:r>
      <w:r>
        <w:rPr>
          <w:rFonts w:ascii="Calibri" w:hAnsi="Calibri"/>
          <w:b w:val="0"/>
          <w:color w:val="3A4A28"/>
          <w:sz w:val="20"/>
        </w:rPr>
        <w:t>Rapid revenue scaling from $820.6M to $1.85-$1.95B creates execution risk in manufacturing, supply chain, and quality control for life-safety defense products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AeroVironment operates in defense robotics — a sector where AI is not a threat but the core enabler [1][3]. Autonomous UAS, loitering munitions, and counter-UAS systems are physical-world military hardware that AI cannot substitute; rather, AI enhances these products' capabilities through autonomous navigation, target identification, and swarm coordination. The defense procurement process, ITAR regulations, classified programs, and decades of customer relationships create additional structural barriers. Rising geopolitical tensions (Ukraine, Taiwan, Middle East) increase demand for exactly the products AVAV makes. AI Opportunity (1/1): AV_Halo and HaloCortex OSINT are revenue-generating AI-powered platforms deployed to military and commercial customers; AI is directly embedded in the product portfolio as a monetizable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AeroVironment Q3 FY2026 Earnings Release — 143% revenue growth, $4.6B year-to-date awards, $1.85-$1.95B FY2026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AeroVironment Q2 FY2026 Earnings Release — $472.5M Q2 revenue (151% growth), SCAR program termination disclosure, December 2025</w:t>
      </w:r>
    </w:p>
    <w:p>
      <w:pPr>
        <w:spacing w:before="20" w:after="20"/>
        <w:ind w:left="170"/>
      </w:pPr>
      <w:r>
        <w:rPr>
          <w:rFonts w:ascii="Calibri" w:hAnsi="Calibri"/>
          <w:b/>
          <w:color w:val="4A6B25"/>
          <w:sz w:val="15"/>
        </w:rPr>
        <w:t xml:space="preserve">3. </w:t>
      </w:r>
      <w:r>
        <w:rPr>
          <w:rFonts w:ascii="Calibri" w:hAnsi="Calibri"/>
          <w:b w:val="0"/>
          <w:color w:val="3A4A28"/>
          <w:sz w:val="17"/>
        </w:rPr>
        <w:t>AeroVironment corporate website and leadership — CEO Nawabi profile, AV_Halo platform, HaloCortex OSINT, Tomahawk Robotics acquisition,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AeroVironment Corporate Social Responsibility Report FY2025 — ESG framework and governance,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AVAV (AeroVironment),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