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AVGO</w:t>
      </w:r>
      <w:r>
        <w:rPr>
          <w:rFonts w:ascii="Calibri" w:hAnsi="Calibri"/>
          <w:b/>
          <w:color w:val="1A2010"/>
          <w:sz w:val="40"/>
        </w:rPr>
        <w:t xml:space="preserve">  Broadcom Inc.</w:t>
      </w:r>
    </w:p>
    <w:p>
      <w:pPr>
        <w:spacing w:after="120"/>
      </w:pPr>
      <w:r>
        <w:rPr>
          <w:rFonts w:ascii="Calibri" w:hAnsi="Calibri"/>
          <w:b/>
          <w:color w:val="6E8450"/>
          <w:sz w:val="18"/>
        </w:rPr>
        <w:t>GROWTH SLEEVE · 2026-05-12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Broadcom Inc. designs, develops, and supplies semiconductor devices and infrastructure software solutions internationally, operating through Semiconductor Solutions and Infrastructure Software segments serving enterprise, data center, and AI networking markets.</w:t>
      </w:r>
    </w:p>
    <w:p>
      <w:r>
        <w:rPr>
          <w:rFonts w:ascii="Calibri" w:hAnsi="Calibri"/>
          <w:b/>
          <w:color w:val="6E8450"/>
          <w:sz w:val="18"/>
        </w:rPr>
        <w:t>33,000 Employees · https://www.broadcom.com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Broadcom executed a transformative $61B VMware acquisition in 2023, pivoting from a pure-play semiconductor company into a dual semiconductor-plus-infrastructure-software powerhouse; AI semiconductor revenue grew 106% YoY to $8.4B in Q1 FY2026 [1]. AI Deployment (2/2): Custom AI accelerators (XPUs) shipping to hyperscale customers with 140% YoY growth in Q1 FY2026; VMware Private AI platform generating enterprise AI revenue [2]. Market Share Leadership (2/2): Broadcom's Tomahawk and Jericho ethernet switching chipsets are the dominant networking fabric for AI data centers; custom XPU business serves three of the largest hyperscalers [3]. Product Pipeline (1/2): Next-gen networking and custom silicon roadmap is strong but specific product launch dates are less publicly detailed than peers. R&amp;D Intensity (1/1): R&amp;D spending approximately 20% of semiconductor revenue, above industry average for diversified semiconductor firms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Broadcom's stated purpose — 'connecting everything' and enabling critical infrastructure — is clear and relevant but not distinctive or deeply aspirational; it describes what the company does rather than a transformative future state. Community &amp; Charitable Impact (2/2): The Broadcom Foundation has invested over $100M in STEM education programs globally, with specific initiatives in underserved communities and employee volunteer programs [4]. Employee Retention (1/2): Glassdoor rating of 3.1/5 with only 49% recommending the company to a friend; employees cite management and career development as cons, though technical talent retention appears adequate for the semiconductor industry [5]. Insider Buying (1/2): Predominantly net insider selling — CFO and officers sold $60M+ in March 2026, though CEO Hock Tan's 22,000-share gift suggests long-term alignment; no meaningful open-market purchases observed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financial profile across all growth metrics. D/E of 82.7% is slightly above the 70% target but well below the 300% floor, reflecting manageable post-VMware acquisition leverage. ROE of 33.4% doubles the 15% target. Revenue growth of 29.5% YoY and ~19.8% 5yr CAGR both exceed targets, driven by AI semiconductor demand and VMware integration. Forward P/E of 23.6x is reasonable for a $2T AI infrastructure leader. Profit margin of 36.6% nearly doubles the 20% target. Forward PEG of 0.94 signals the stock remains attractively valued relative to its earnings growth trajectory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Broadcom under Hock Tan plays a distinctive game — patient, disciplined capital allocation through strategic acquisitions (Brocade, CA Technologies, Symantec Enterprise, VMware) combined with aggressive cost optimization. This is more infinite than finite, but the relentless focus on margins and the transactional nature of the acquisition strategy lacks the idealistic purpose that defines true infinite players. The VMware acquisition demonstrates existential flexibility, but the aggressive post-acquisition cost-cutting and pricing changes drew customer criticism.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Broadcom's mission to 'connect everything' and enable critical infrastructure is genuine and connects its work to enabling global technology advancement. CEO Hock Tan's 15+ year tenure and consistent acquisition-and-optimize strategy show long-term thinking, but the cause is more operational excellence than a transformative vision of a better future [3][5].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a mixed culture — strong technical talent and benefits, but employees cite management issues and limited career development. The 49% recommendation rate and 2.8/5 culture score suggest adequate but not exceptional organizational trust. Post-acquisition integration often involves significant headcount reductions, which can undermine psychological safety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Broadcom operates in a competitive landscape alongside NVIDIA, Intel, AMD, and Marvell. CEO Tan has consistently framed competition as motivation to deepen Broadcom's moat in custom silicon and networking rather than as rivals to destroy. The company's strategy of focusing on underserved niches (custom XPUs, ethernet switching) rather than competing head-to-head reflects an improvement-oriented competitive mindset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$61B VMware acquisition in 2023 fundamentally transformed Broadcom from a semiconductor company into a semiconductor-plus-enterprise-software platform, the most dramatic strategic pivot in the company's history. Earlier acquisitions of CA Technologies ($18.9B) and Symantec Enterprise ($10.7B) similarly demonstrated willingness to abandon the pure semiconductor identity in service of building a broader technology infrastructure franchise [3][7].</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Hock Tan demonstrated courage by pursuing the massive VMware acquisition despite skepticism from analysts and customers about price premiums and integration risk. However, the post-acquisition playbook — aggressive cost-cutting, license model changes, and price increases — prioritizes near-term margin optimization over long-term ecosystem cultivation, which Sinek would view as a finite-game tactic applied within an otherwise courageous strategic bet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Broadcom is the preeminent infrastructure platform for the AI era, combining dominant custom silicon and networking semiconductor franchises with VMware's enterprise software suite. Q1 FY2026 delivered $19.3B revenue (+29% YoY) with AI semiconductor revenue of $8.4B (+106% YoY) and custom accelerator growth of 140% [1][2]. Management raised FY2026 revenue guidance to $94.7B and guided Q2 to $22B (+47% YoY), signaling accelerating momentum from hyperscale AI buildout [1].</w:t>
      </w:r>
    </w:p>
    <w:p>
      <w:pPr>
        <w:spacing w:after="120"/>
      </w:pPr>
      <w:r>
        <w:rPr>
          <w:rFonts w:ascii="Calibri" w:hAnsi="Calibri"/>
          <w:b w:val="0"/>
          <w:color w:val="3A4A28"/>
          <w:sz w:val="20"/>
        </w:rPr>
        <w:t>The VMware integration is progressing well, with the infrastructure software segment contributing predictable recurring revenue that complements the cyclical semiconductor business. At a forward PEG of 0.94, the stock remains attractively valued relative to its 30%+ earnings growth trajectory. The combination of AI hardware leadership, software recurring revenue, and disciplined capital allocation under CEO Hock Tan creates a compelling compounding story, though the D/E of 83% from acquisition financing warrants monitoring as interest rates remain elevated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semiconductor revenue expected to exceed $40B in FY2026, driven by 140% growth in custom XPU accelerators serving hyperscale customers including Google, Meta, and ByteDance [1][2]</w:t>
      </w:r>
    </w:p>
    <w:p>
      <w:pPr>
        <w:spacing w:before="40" w:after="40"/>
        <w:ind w:left="283"/>
      </w:pPr>
      <w:r>
        <w:rPr>
          <w:rFonts w:ascii="Calibri" w:hAnsi="Calibri"/>
          <w:b/>
          <w:color w:val="4A6B25"/>
          <w:sz w:val="20"/>
        </w:rPr>
        <w:t xml:space="preserve">2. </w:t>
      </w:r>
      <w:r>
        <w:rPr>
          <w:rFonts w:ascii="Calibri" w:hAnsi="Calibri"/>
          <w:b w:val="0"/>
          <w:color w:val="3A4A28"/>
          <w:sz w:val="20"/>
        </w:rPr>
        <w:t>Q2 FY2026 revenue guidance of $22B (+47% YoY) indicates accelerating growth as next-generation custom silicon ramps for additional hyperscaler customers [1]</w:t>
      </w:r>
    </w:p>
    <w:p>
      <w:pPr>
        <w:spacing w:before="40" w:after="40"/>
        <w:ind w:left="283"/>
      </w:pPr>
      <w:r>
        <w:rPr>
          <w:rFonts w:ascii="Calibri" w:hAnsi="Calibri"/>
          <w:b/>
          <w:color w:val="4A6B25"/>
          <w:sz w:val="20"/>
        </w:rPr>
        <w:t xml:space="preserve">3. </w:t>
      </w:r>
      <w:r>
        <w:rPr>
          <w:rFonts w:ascii="Calibri" w:hAnsi="Calibri"/>
          <w:b w:val="0"/>
          <w:color w:val="3A4A28"/>
          <w:sz w:val="20"/>
        </w:rPr>
        <w:t>VMware Cloud Foundation and Private AI platform adoption converting enterprise customers from perpetual licenses to higher-value subscription models, driving recurring revenue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top five customers represent approximately 40% of semiconductor revenue; loss of a major hyperscaler relationship would significantly impact growth [3]</w:t>
      </w:r>
    </w:p>
    <w:p>
      <w:pPr>
        <w:spacing w:before="40" w:after="40"/>
        <w:ind w:left="283"/>
      </w:pPr>
      <w:r>
        <w:rPr>
          <w:rFonts w:ascii="Calibri" w:hAnsi="Calibri"/>
          <w:b/>
          <w:color w:val="4A6B25"/>
          <w:sz w:val="20"/>
        </w:rPr>
        <w:t xml:space="preserve">2. </w:t>
      </w:r>
      <w:r>
        <w:rPr>
          <w:rFonts w:ascii="Calibri" w:hAnsi="Calibri"/>
          <w:b w:val="0"/>
          <w:color w:val="3A4A28"/>
          <w:sz w:val="20"/>
        </w:rPr>
        <w:t>Post-VMware acquisition debt of $66B creates interest expense pressure; D/E of 83% leaves limited balance sheet flexibility if AI demand softens [7]</w:t>
      </w:r>
    </w:p>
    <w:p>
      <w:pPr>
        <w:spacing w:before="40" w:after="40"/>
        <w:ind w:left="283"/>
      </w:pPr>
      <w:r>
        <w:rPr>
          <w:rFonts w:ascii="Calibri" w:hAnsi="Calibri"/>
          <w:b/>
          <w:color w:val="4A6B25"/>
          <w:sz w:val="20"/>
        </w:rPr>
        <w:t xml:space="preserve">3. </w:t>
      </w:r>
      <w:r>
        <w:rPr>
          <w:rFonts w:ascii="Calibri" w:hAnsi="Calibri"/>
          <w:b w:val="0"/>
          <w:color w:val="3A4A28"/>
          <w:sz w:val="20"/>
        </w:rPr>
        <w:t>Hyperscaler customers are investing in in-house chip design capabilities (Google TPU, Amazon Trainium/Inferentia), which could reduce reliance on Broadcom's custom silicon over time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Broadcom is AI infrastructure itself — its custom XPUs and networking silicon (Tomahawk, Jericho) are the physical backbone of hyperscale AI data centers. AI cannot displace the company because AI compute fundamentally requires Broadcom's products; increased AI adoption directly increases demand for its semiconductors and networking solutions [2][3]. VMware's infrastructure software is equally essential for enterprise cloud and private AI deployments. AI Opportunity (1/1): AI semiconductor revenue reached $8.4B in Q1 FY2026, representing 44% of total semiconductor revenue, with full-year AI revenue guidance implying $40B+ for FY2026. Custom accelerator revenue grew 140% YoY, and management raised FY2026 revenue guidance to $94.7B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Broadcom Inc. Q1 FY2026 Earnings Release — Revenue $19.3B, AI revenue $8.4B, January 2026</w:t>
      </w:r>
    </w:p>
    <w:p>
      <w:pPr>
        <w:spacing w:before="20" w:after="20"/>
        <w:ind w:left="170"/>
      </w:pPr>
      <w:r>
        <w:rPr>
          <w:rFonts w:ascii="Calibri" w:hAnsi="Calibri"/>
          <w:b/>
          <w:color w:val="4A6B25"/>
          <w:sz w:val="15"/>
        </w:rPr>
        <w:t xml:space="preserve">2. </w:t>
      </w:r>
      <w:r>
        <w:rPr>
          <w:rFonts w:ascii="Calibri" w:hAnsi="Calibri"/>
          <w:b w:val="0"/>
          <w:color w:val="3A4A28"/>
          <w:sz w:val="17"/>
        </w:rPr>
        <w:t>Futurum Group — 'Broadcom Q1 FY2026 Earnings Driven by XPU Momentum,' March 2026</w:t>
      </w:r>
    </w:p>
    <w:p>
      <w:pPr>
        <w:spacing w:before="20" w:after="20"/>
        <w:ind w:left="170"/>
      </w:pPr>
      <w:r>
        <w:rPr>
          <w:rFonts w:ascii="Calibri" w:hAnsi="Calibri"/>
          <w:b/>
          <w:color w:val="4A6B25"/>
          <w:sz w:val="15"/>
        </w:rPr>
        <w:t xml:space="preserve">3. </w:t>
      </w:r>
      <w:r>
        <w:rPr>
          <w:rFonts w:ascii="Calibri" w:hAnsi="Calibri"/>
          <w:b w:val="0"/>
          <w:color w:val="3A4A28"/>
          <w:sz w:val="17"/>
        </w:rPr>
        <w:t>FinancialContent — 'The Infrastructure Architect: An In-Depth Analysis of Broadcom Inc. (AVGO) in the AI Era,' April 2026</w:t>
      </w:r>
    </w:p>
    <w:p>
      <w:pPr>
        <w:spacing w:before="20" w:after="20"/>
        <w:ind w:left="170"/>
      </w:pPr>
      <w:r>
        <w:rPr>
          <w:rFonts w:ascii="Calibri" w:hAnsi="Calibri"/>
          <w:b/>
          <w:color w:val="4A6B25"/>
          <w:sz w:val="15"/>
        </w:rPr>
        <w:t xml:space="preserve">4. </w:t>
      </w:r>
      <w:r>
        <w:rPr>
          <w:rFonts w:ascii="Calibri" w:hAnsi="Calibri"/>
          <w:b w:val="0"/>
          <w:color w:val="3A4A28"/>
          <w:sz w:val="17"/>
        </w:rPr>
        <w:t>Broadcom Foundation — Corporate Citizenship and ESG Reports, broadcom.com/company/citizenship</w:t>
      </w:r>
    </w:p>
    <w:p>
      <w:pPr>
        <w:spacing w:before="20" w:after="20"/>
        <w:ind w:left="170"/>
      </w:pPr>
      <w:r>
        <w:rPr>
          <w:rFonts w:ascii="Calibri" w:hAnsi="Calibri"/>
          <w:b/>
          <w:color w:val="4A6B25"/>
          <w:sz w:val="15"/>
        </w:rPr>
        <w:t xml:space="preserve">5. </w:t>
      </w:r>
      <w:r>
        <w:rPr>
          <w:rFonts w:ascii="Calibri" w:hAnsi="Calibri"/>
          <w:b w:val="0"/>
          <w:color w:val="3A4A28"/>
          <w:sz w:val="17"/>
        </w:rPr>
        <w:t>Glassdoor — Broadcom Employee Reviews,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SEC EDGAR — Broadcom Inc. Insider Transactions,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AVGO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