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AVXL</w:t>
      </w:r>
      <w:r>
        <w:rPr>
          <w:rFonts w:ascii="Calibri" w:hAnsi="Calibri"/>
          <w:b/>
          <w:color w:val="1A2010"/>
          <w:sz w:val="40"/>
        </w:rPr>
        <w:t xml:space="preserve">  Anavex Life Sciences Corp.</w:t>
      </w:r>
    </w:p>
    <w:p>
      <w:pPr>
        <w:spacing w:after="120"/>
      </w:pPr>
      <w:r>
        <w:rPr>
          <w:rFonts w:ascii="Calibri" w:hAnsi="Calibri"/>
          <w:b/>
          <w:color w:val="6E8450"/>
          <w:sz w:val="18"/>
        </w:rPr>
        <w:t>GROWTH SLEEVE · 2026-04-26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Anavex Life Sciences is a clinical-stage biopharmaceutical company developing therapies for neurological and neurodevelopmental diseases. Its lead candidate, blarcamesine (ANAVEX 2-73), is a sigma-1 receptor agonist in development for early Alzheimer's disease, Parkinson's disease dementia, and Rett syndrome. The company's precision medicine platform targets multiple CNS conditions through a single mechanism of action.</w:t>
      </w:r>
    </w:p>
    <w:p>
      <w:r>
        <w:rPr>
          <w:rFonts w:ascii="Calibri" w:hAnsi="Calibri"/>
          <w:b/>
          <w:color w:val="6E8450"/>
          <w:sz w:val="18"/>
        </w:rPr>
        <w:t>34 Employees · https://www.anavex.com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Anavex has advanced blarcamesine through Phase 2b/3 clinical trials for Alzheimer's disease and achieved positive Phase 3 results in Rett syndrome, demonstrating clinical execution capability [1]. However, the EMA negative opinion and subsequent withdrawal of the EU marketing authorization application for blarcamesine in Alzheimer's represents a significant regulatory setback that undermines the track record [2]. AI Deployment (1/2): Anavex partnered with Partex Group to leverage AI for drug development and healthcare sales marketing, and is integrating blarcamesine into the ACCESS-AD framework using AI-driven decision support and digital biomarkers [2]. Market Share (1/2): Blarcamesine's sigma-1 receptor mechanism represents a differentiated approach in the crowded Alzheimer's market, but with no approved products and competing against Lecanemab and Donanemab, the company has no current market share [1]. Pipeline (1/2): Pipeline includes blarcamesine for Alzheimer's, Parkinson's disease dementia, Rett syndrome, and Fragile X syndrome, covering multiple CNS indications with a single compound — but all programs are pre-approval with regulatory uncertainty [1]. R&amp;D Intensity (0/1): R&amp;D spending of $4.7M in Q1 FY2026 ($18.8M annualized) against $0 revenue is extreme R&amp;D intensity, but the absolute spending is low at only 34 employees, suggesting limited R&amp;D depth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Anavex's mission focuses on advancing therapies for devastating neurological diseases including Alzheimer's, Parkinson's, and Rett syndrome — a genuinely purposeful cause addressing diseases with enormous unmet need [2]. CEO Dr. Missling's 11+ year tenure demonstrates sustained commitment to the CNS space. The company's emphasis on precision medicine and patient-centric development reflects thoughtful intentionality beyond generic biotech ambitions. Community Impact (1/2): Anavex's pipeline addresses diseases with limited treatment options, particularly Rett syndrome (rare pediatric condition) and Alzheimer's, where patients and families are desperate for disease-modifying therapies [1]. The company engages with patient advocacy communities but its small size (34 employees) limits community reach. Employee Retention (0/2): With only 34 employees, meaningful retention data is unavailable; no Glassdoor reviews with sufficient volume to assess culture [2]. Insider Buying (1/2): Director Dr. Thomas purchased $22,600 in shares (May 2024) and Director Donhauser purchased $10,319 (June 2024), showing modest insider buying [4]. However, CEO Missling exercised options for 687,500 shares in 2025, which mixed with small insider purchases creates an unclear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Anavex is a pre-revenue clinical-stage biotech with $0 revenue across all reporting periods and consistent net losses of $43-48M annually [1]. The company has no debt and $131.7M in cash (December 2025), providing 3+ years of runway at current burn rates, which is a meaningful survival advantage [1]. However, all calculable financial metrics score at floor: ROE of -33.6%, profit margin of 0%, and negative forward P/E of -23.9x [5]. The $309M market cap on zero revenue reflects pure speculative value tied to blarcamesine regulatory outcomes. Liquidity is adequate: 1.47M avg volume × $3.34 = $4.9M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Anavex under Dr. Missling demonstrates persistence in pursuing a difficult but meaningful cause — developing treatments for Alzheimer's and rare neurological diseases over an 11+ year CEO tenure. The company's commitment to precision medicine in CNS disorders reflects genuine purpose, though the single-compound pipeline and recent EMA setback test the resilience of the infinite game approach.</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Anavex's purpose — developing transformative therapies for Alzheimer's, Parkinson's, and Rett syndrome — is genuine and deeply meaningful, addressing some of medicine's most devastating unmet needs [2]. Dr. Missling's 11+ year commitment to this cause through years of pre-revenue operation demonstrates authentic purpose alignment. However, the cause hasn't been fully validated by execution — the EMA negative opinion on blarcamesine raises questions about whether the science supports the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34 employees, Anavex operates as a tight-knit team with stable leadership under Dr. Missling since 2013 [2]. The recent expansion of the leadership team (VP R&amp;D, VP Clinical Development, VP Clinical Pharmacology) in 2025-2026 and the appointment of Dr. Paeger to the board suggest thoughtful organizational building. However, the very small size makes it difficult to assess team dynamics beyond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or management commentary of Anavex acknowledging the strengths of competitors like Biogen (Lecanemab) or Lilly (Donanemab) as worthy rivals whose approaches push Anavex to improve [2]. The company's messaging focuses on its differentiated sigma-1 receptor mechanism without engaging with competitors' successes in the amyloid-targeting space.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Anavex has pursued essentially the same strategy for over a decade — developing blarcamesine across multiple CNS indications using a single molecular mechanism [1]. While applying one compound to multiple diseases shows scientific flexibility, the company has not demonstrated willingness to pivot away from its core approach when faced with setbacks like the EMA rejection. The 34-person team and single-compound focus leave little room for strategic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Missling's decision to persist through 11+ years of pre-revenue operations, spending $40-48M annually on R&amp;D with no commercial products, demonstrates conviction in the long-term therapeutic vision [1]. The company's request for EMA re-examination after the negative opinion shows willingness to fight for the cause rather than retreating. However, the question remains whether this reflects courage or stubbornness in the face of regulatory signals.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Anavex Life Sciences is a high-risk clinical-stage biotech with a differentiated sigma-1 receptor agonist platform targeting Alzheimer's, Parkinson's, and Rett syndrome. Blarcamesine's Phase 3 results in Rett syndrome were positive, and the compound's potential to address multiple CNS conditions through a single mechanism offers pipeline optionality [1]. The company's $131.7M cash position with no debt provides 3+ years of runway, reducing near-term survival risk [1]. The AI partnership with Partex Group for drug development optimization and the precision medicine approach through ACCESS-AD demonstrate scientific sophistication [2]. At a $309M market cap, the stock offers significant upside if blarcamesine achieves regulatory approval in any indication.</w:t>
      </w:r>
    </w:p>
    <w:p>
      <w:pPr>
        <w:spacing w:after="120"/>
      </w:pPr>
      <w:r>
        <w:rPr>
          <w:rFonts w:ascii="Calibri" w:hAnsi="Calibri"/>
          <w:b w:val="0"/>
          <w:color w:val="3A4A28"/>
          <w:sz w:val="20"/>
        </w:rPr>
        <w:t>The bear case is dominated by severe regulatory and execution risk. The EMA's negative opinion on blarcamesine for Alzheimer's (leading to a 43.8% stock decline in March 2026) raises fundamental questions about the compound's efficacy data and the company's ability to achieve approval in its largest addressable market [3]. Class-action lawsuits filed against the company compound the governance risk [3]. With zero revenue across all reporting periods, $46.4M annual cash burn, and the entire company value dependent on a single compound across multiple indications, the risk profile is binary [1]. The Alzheimer's market is now dominated by amyloid-targeting therapies (Lecanemab, Donanemab) from much larger companies, and blarcamesine's sigma-1 mechanism must prove differentiated efficacy to gain market access. Manufacturing challenges flagged in recent reports add further execution risk [3]. The 34-employee team has limited capacity to execute a global commercialization strategy even if approval is achieved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EMA re-examination outcome on blarcamesine for Alzheimer's disease could reverse the negative opinion and open the European market for the lead candidate [3]</w:t>
      </w:r>
    </w:p>
    <w:p>
      <w:pPr>
        <w:spacing w:before="40" w:after="40"/>
        <w:ind w:left="283"/>
      </w:pPr>
      <w:r>
        <w:rPr>
          <w:rFonts w:ascii="Calibri" w:hAnsi="Calibri"/>
          <w:b/>
          <w:color w:val="4A6B25"/>
          <w:sz w:val="20"/>
        </w:rPr>
        <w:t xml:space="preserve">2. </w:t>
      </w:r>
      <w:r>
        <w:rPr>
          <w:rFonts w:ascii="Calibri" w:hAnsi="Calibri"/>
          <w:b w:val="0"/>
          <w:color w:val="3A4A28"/>
          <w:sz w:val="20"/>
        </w:rPr>
        <w:t>FDA regulatory pathway for blarcamesine in Alzheimer's and Rett syndrome — U.S. approval in either indication would validate the platform and drive significant value [1]</w:t>
      </w:r>
    </w:p>
    <w:p>
      <w:pPr>
        <w:spacing w:before="40" w:after="40"/>
        <w:ind w:left="283"/>
      </w:pPr>
      <w:r>
        <w:rPr>
          <w:rFonts w:ascii="Calibri" w:hAnsi="Calibri"/>
          <w:b/>
          <w:color w:val="4A6B25"/>
          <w:sz w:val="20"/>
        </w:rPr>
        <w:t xml:space="preserve">3. </w:t>
      </w:r>
      <w:r>
        <w:rPr>
          <w:rFonts w:ascii="Calibri" w:hAnsi="Calibri"/>
          <w:b w:val="0"/>
          <w:color w:val="3A4A28"/>
          <w:sz w:val="20"/>
        </w:rPr>
        <w:t>AI-enhanced drug development through the Partex partnership and ACCESS-AD framework could improve clinical trial efficiency and precision medicine patient selection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rejection risk — EMA negative opinion for Alzheimer's signals potential efficacy concerns that could extend to FDA review and other indications, threatening the entire pipeline built on a single compound [3]</w:t>
      </w:r>
    </w:p>
    <w:p>
      <w:pPr>
        <w:spacing w:before="40" w:after="40"/>
        <w:ind w:left="283"/>
      </w:pPr>
      <w:r>
        <w:rPr>
          <w:rFonts w:ascii="Calibri" w:hAnsi="Calibri"/>
          <w:b/>
          <w:color w:val="4A6B25"/>
          <w:sz w:val="20"/>
        </w:rPr>
        <w:t xml:space="preserve">2. </w:t>
      </w:r>
      <w:r>
        <w:rPr>
          <w:rFonts w:ascii="Calibri" w:hAnsi="Calibri"/>
          <w:b w:val="0"/>
          <w:color w:val="3A4A28"/>
          <w:sz w:val="20"/>
        </w:rPr>
        <w:t>Binary clinical-stage risk — $0 revenue, $46.4M annual cash burn, and entire $309M valuation dependent on blarcamesine approval in at least one indication; failure would be catastrophic [1]</w:t>
      </w:r>
    </w:p>
    <w:p>
      <w:pPr>
        <w:spacing w:before="40" w:after="40"/>
        <w:ind w:left="283"/>
      </w:pPr>
      <w:r>
        <w:rPr>
          <w:rFonts w:ascii="Calibri" w:hAnsi="Calibri"/>
          <w:b/>
          <w:color w:val="4A6B25"/>
          <w:sz w:val="20"/>
        </w:rPr>
        <w:t xml:space="preserve">3. </w:t>
      </w:r>
      <w:r>
        <w:rPr>
          <w:rFonts w:ascii="Calibri" w:hAnsi="Calibri"/>
          <w:b w:val="0"/>
          <w:color w:val="3A4A28"/>
          <w:sz w:val="20"/>
        </w:rPr>
        <w:t>Class-action lawsuits filed in 2024 and manufacturing challenges create additional governance and operational risks for a 34-person company with no commercial infrastructure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Anavex's core business — developing small molecule therapeutics for neurological diseases through clinical trials and regulatory approval — is fundamentally protected from AI disruption [2]. Drug development for CNS conditions requires wet lab pharmacology, human clinical trials, and regulatory submissions that AI cannot replace. Alzheimer's and Parkinson's treatment involves complex brain chemistry and patient care that is structurally immune to digital substitution. AI may accelerate drug discovery and clinical trial design, which benefits rather than threatens Anavex's model. AI Opportunity (1/1): The Partex Group partnership specifically leverages AI for drug development optimization and healthcare sales marketing, and the ACCESS-AD framework integrates AI-driven decision support into clinical development, generating measurable value from AI integration even as a pre-revenue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Anavex Life Sciences Fiscal 2026 Q1 Financial Results and Business Update, February 2026</w:t>
      </w:r>
    </w:p>
    <w:p>
      <w:pPr>
        <w:spacing w:before="20" w:after="20"/>
        <w:ind w:left="170"/>
      </w:pPr>
      <w:r>
        <w:rPr>
          <w:rFonts w:ascii="Calibri" w:hAnsi="Calibri"/>
          <w:b/>
          <w:color w:val="4A6B25"/>
          <w:sz w:val="15"/>
        </w:rPr>
        <w:t xml:space="preserve">2. </w:t>
      </w:r>
      <w:r>
        <w:rPr>
          <w:rFonts w:ascii="Calibri" w:hAnsi="Calibri"/>
          <w:b w:val="0"/>
          <w:color w:val="3A4A28"/>
          <w:sz w:val="17"/>
        </w:rPr>
        <w:t>Anavex Life Sciences corporate website — About Us, Team, Pipeline; Partex Group AI partnership announcement, June 2023;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BioSpace — Anavex EMA negative opinion, marketing authorization withdrawal, class-action lawsuits, March-April 2026</w:t>
      </w:r>
    </w:p>
    <w:p>
      <w:pPr>
        <w:spacing w:before="20" w:after="20"/>
        <w:ind w:left="170"/>
      </w:pPr>
      <w:r>
        <w:rPr>
          <w:rFonts w:ascii="Calibri" w:hAnsi="Calibri"/>
          <w:b/>
          <w:color w:val="4A6B25"/>
          <w:sz w:val="15"/>
        </w:rPr>
        <w:t xml:space="preserve">4. </w:t>
      </w:r>
      <w:r>
        <w:rPr>
          <w:rFonts w:ascii="Calibri" w:hAnsi="Calibri"/>
          <w:b w:val="0"/>
          <w:color w:val="3A4A28"/>
          <w:sz w:val="17"/>
        </w:rPr>
        <w:t>SEC EDGAR — Anavex Life Sciences Form 4 insider transaction filings,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AVXL key statistics and market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