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AXGN</w:t>
      </w:r>
      <w:r>
        <w:rPr>
          <w:rFonts w:ascii="Calibri" w:hAnsi="Calibri"/>
          <w:b/>
          <w:color w:val="1A2010"/>
          <w:sz w:val="40"/>
        </w:rPr>
        <w:t xml:space="preserve">  Axogen, Inc.</w:t>
      </w:r>
    </w:p>
    <w:p>
      <w:pPr>
        <w:spacing w:after="120"/>
      </w:pPr>
      <w:r>
        <w:rPr>
          <w:rFonts w:ascii="Calibri" w:hAnsi="Calibri"/>
          <w:b/>
          <w:color w:val="6E8450"/>
          <w:sz w:val="18"/>
        </w:rPr>
        <w:t>GROWTH SLEEVE · 2026-05-06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Axogen, Inc. develops and commercializes technologies for peripheral nerve regeneration and repair worldwide. The company's portfolio includes the Avance Nerve Graft, a processed human nerve allograft for bridging nerve discontinuities, along with Axoguard Nerve Connector, Axoguard Nerve Protector, and Avive Soft Tissue Membrane products used across extremities, oral maxillofacial, head and neck, and breast reconstruction markets.</w:t>
      </w:r>
    </w:p>
    <w:p>
      <w:r>
        <w:rPr>
          <w:rFonts w:ascii="Calibri" w:hAnsi="Calibri"/>
          <w:b/>
          <w:color w:val="6E8450"/>
          <w:sz w:val="18"/>
        </w:rPr>
        <w:t>622 Employees · https://www.axogeninc.com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Axogen has built a dominant position in the niche peripheral nerve repair market with its Avance Nerve Graft, the first and only FDA-approved processed human nerve allograft, though the product category remains relatively small-scale [1][2]. AI Deployment (0/2): No evidence of meaningful AI integration in R&amp;D, manufacturing, or clinical workflows — Axogen remains a traditional surgical biologics company. Market Share (2/2): Axogen holds overwhelming market share in processed nerve allografts with no direct competitor offering an equivalent FDA-approved product; Avance has become the standard of care for peripheral nerve gaps in extremities and is expanding into breast and OMF markets [1]. Product Pipeline (1/2): The company is successfully expanding Avance into breast reconstruction and oral maxillofacial markets, achieving double-digit growth in all three market segments in Q1 2026, and secured new coverage decisions from Cigna and Elevance Health [1]. R&amp;D Intensity (1/1): Axogen invests aggressively in clinical evidence generation and regulatory strategy, spending approximately 12-15% of revenue on R&amp;D to support market expansion and long-term Avance clinical data.</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Axogen's mission to restore the quality of life for patients with peripheral nerve injuries is clear, medically significant, and connects product development to meaningful patient outcomes — nerve repair restores sensation and motor function that otherwise leads to permanent disability [2]. Community Impact (1/2): The company serves an underserved patient population where alternatives are limited, and successful nerve repair outcomes measurably improve patient quality of life and reduce long-term healthcare costs. Employee Retention (0/2): Glassdoor reviews reveal significant cultural concerns — employees describe a 'toxic' and 'openly hostile' workplace where leadership reportedly takes credit for employees' work, transparency is reportedly absent, and the culture has been characterized as racially biased [3]. The CEO transition from Zaderej to Dale in August 2024 adds organizational uncertainty. Insider Buying (0/2): CEO Michael Dale sold 25,000 shares in January 2026, and additional insider sales of 5,221 shares were reported in March 2026, signaling limited insider conviction despite strong revenue growth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Axogen's Infrastructure score reflects the tension between exceptional revenue growth and persistent unprofitability. D/E of 8.4% is excellent, well below the 70% target, with $101.6M cash against only $20.6M debt providing a fortress balance sheet [4]. Revenue growth YoY of 26.6% and 5-year CAGR of ~16.9% are outstanding, both exceeding the 10% target [1][4]. However, ROE of -18.0% (2× weight for Growth) scores zero as the company remains unprofitable on a trailing basis, though Q1 2026 adjusted net income was $4.1M signaling inflection [1]. Forward P/E of 60.1x is at the floor (≥60), reflecting high expectations priced into the stock. Profit margin of -13.2% scores zero. PEG ratio of 99.0 (2× weight) scores zero, driven by the extreme forward P/E relative to expected growth. Liquidity floor cleared: 1.05M avg volume × $43.74 = $45.9M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Axogen demonstrates a genuine Just Cause in restoring nerve function for underserved patients and has shown courage in pursuing FDA approval for Avance despite years of investment without profitability. However, toxic workplace culture concerns, insider selling, and a recent CEO transition undermine the trust and stability that characterize infinite game players. The company plays to endure but has significant organizational health challenges to address.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Axogen's purpose — restoring peripheral nerve function and quality of life for patients with otherwise debilitating injuries — is a compelling medical mission that has driven the company through over a decade of investment before approaching profitability [1][2]. The expansion into breast reconstruction nerve repair demonstrates mission-driven market development rather than purely financial optimization. However, the cause has not been tested by a dramatic sacrifice that proves its primacy over profit. Score: 2 weighted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paint a concerning picture of Axogen's internal culture — employees describe a 'toxic' and 'openly hostile' work environment with reported racial bias, lack of transparency, and leadership that takes credit for subordinates' work [3]. With only 622 employees, cultural problems at this scale are particularly damaging and harder to attribute to isolated incidents. The CEO transition from Zaderej to Dale in August 2024 creates additional organizational uncertainty. These reports suggest significant trust deficits within the organization. Score: 0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Axogen competes against Integra LifeSciences, Stryker, and autograft surgical techniques without framing competition in destructive terms. The company's communications focus on advancing the standard of care for nerve repair rather than defeating specific competitors, and its clinical evidence strategy (generating outcomes data to prove superiority over conduits and autografts) reflects a constructive competitive approach that elevates the entire field [1][2].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Axogen has demonstrated meaningful strategic evolution — expanding from extremities-focused nerve repair into breast reconstruction and oral maxillofacial markets, achieving double-digit growth in all three segments in Q1 2026 [1]. The transition from 510(k) medical device pathway to BLA biologics approval for Avance represents a fundamental strategic pivot that repositioned the company's regulatory and competitive moat. Securing insurance coverage from Cigna and Elevance expands the addressable market significantly [1].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Axogen invested heavily in the Avance BLA regulatory pathway despite years of unprofitability, demonstrating willingness to sacrifice short-term results for long-term market positioning [1]. The company fully repaid its credit facility in Q1 2026 while maintaining aggressive commercial investment, and the transition to biologics channel from 510(k) pathway represents a meaningful strategic bet. However, these decisions, while costly, align with conventional business logic rather than representing truly courageous cause-driven sacrifice.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Axogen is the dominant player in peripheral nerve repair with no direct FDA-approved competitor to its Avance Nerve Graft, and the company is executing a compelling growth story — Q1 2026 revenue of $61.5M grew 26.6% YoY with double-digit growth in all three market segments (Extremities, OMF, Breast) [1]. Full-year 2026 guidance was raised to at least $270M revenue on at least 20% growth, and the company expects to be free cash flow positive for the full year, signaling an inflection from years of investment into sustainable profitability [1]. The fortress balance sheet ($101.6M cash, $20.6M debt, credit facility fully repaid) provides operational flexibility [4]. New insurance coverage decisions from Cigna and Elevance Health expand the addressable market by improving reimbursement access for nerve repair procedures [1]. With 75% gross margins and an unmatched regulatory moat (BLA-approved biologics), Axogen has the profile of a specialty medical device compounder.</w:t>
      </w:r>
    </w:p>
    <w:p>
      <w:pPr>
        <w:spacing w:after="120"/>
      </w:pPr>
      <w:r>
        <w:rPr>
          <w:rFonts w:ascii="Calibri" w:hAnsi="Calibri"/>
          <w:b w:val="0"/>
          <w:color w:val="3A4A28"/>
          <w:sz w:val="20"/>
        </w:rPr>
        <w:t>The bear case is straightforward: the stock is priced for perfection at 60x forward earnings, and the company remains unprofitable on a trailing GAAP basis with a net loss of $19.6M in Q1 2026 (including a $16.8M one-time loss) [1]. Adjusted net income of $4.1M is razor-thin, and any execution misstep — slower surgeon adoption, reimbursement setbacks, or supply chain disruption for donated human tissue — could delay the profitability inflection that the valuation demands. The workforce culture concerns flagged on Glassdoor are particularly worrying for a 622-person company that depends on specialized talent in tissue processing and surgical sales [3]. CEO Michael Dale, appointed August 2024, is still establishing his leadership while simultaneously managing the critical Avance BLA biologics transition and commercial expansion into new markets. Insider selling by the CEO and other officers undermines confidence in management's conviction about the stock at current levels [3]. At $2.3B market cap on $270M guided revenue, the stock prices in successful multi-year execution with little room for error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revenue guidance raised to at least $270M with at least 20% growth and expected free cash flow positivity, signaling profitability inflection after years of investment [1]</w:t>
      </w:r>
    </w:p>
    <w:p>
      <w:pPr>
        <w:spacing w:before="40" w:after="40"/>
        <w:ind w:left="283"/>
      </w:pPr>
      <w:r>
        <w:rPr>
          <w:rFonts w:ascii="Calibri" w:hAnsi="Calibri"/>
          <w:b/>
          <w:color w:val="4A6B25"/>
          <w:sz w:val="20"/>
        </w:rPr>
        <w:t xml:space="preserve">2. </w:t>
      </w:r>
      <w:r>
        <w:rPr>
          <w:rFonts w:ascii="Calibri" w:hAnsi="Calibri"/>
          <w:b w:val="0"/>
          <w:color w:val="3A4A28"/>
          <w:sz w:val="20"/>
        </w:rPr>
        <w:t>New commercial insurance coverage from Cigna and Elevance Health expanding the reimbursement-accessible market for peripheral nerve repair procedures [1]</w:t>
      </w:r>
    </w:p>
    <w:p>
      <w:pPr>
        <w:spacing w:before="40" w:after="40"/>
        <w:ind w:left="283"/>
      </w:pPr>
      <w:r>
        <w:rPr>
          <w:rFonts w:ascii="Calibri" w:hAnsi="Calibri"/>
          <w:b/>
          <w:color w:val="4A6B25"/>
          <w:sz w:val="20"/>
        </w:rPr>
        <w:t xml:space="preserve">3. </w:t>
      </w:r>
      <w:r>
        <w:rPr>
          <w:rFonts w:ascii="Calibri" w:hAnsi="Calibri"/>
          <w:b w:val="0"/>
          <w:color w:val="3A4A28"/>
          <w:sz w:val="20"/>
        </w:rPr>
        <w:t>Successful expansion into breast reconstruction and oral maxillofacial markets, both achieving double-digit growth in Q1 2026 and diversifying beyond extremities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60x forward earnings with trailing GAAP losses — any execution stumble in surgeon adoption, reimbursement, or the Avance BLA biologics transition could trigger a severe multiple compression [1][4]</w:t>
      </w:r>
    </w:p>
    <w:p>
      <w:pPr>
        <w:spacing w:before="40" w:after="40"/>
        <w:ind w:left="283"/>
      </w:pPr>
      <w:r>
        <w:rPr>
          <w:rFonts w:ascii="Calibri" w:hAnsi="Calibri"/>
          <w:b/>
          <w:color w:val="4A6B25"/>
          <w:sz w:val="20"/>
        </w:rPr>
        <w:t xml:space="preserve">2. </w:t>
      </w:r>
      <w:r>
        <w:rPr>
          <w:rFonts w:ascii="Calibri" w:hAnsi="Calibri"/>
          <w:b w:val="0"/>
          <w:color w:val="3A4A28"/>
          <w:sz w:val="20"/>
        </w:rPr>
        <w:t>Toxic workplace culture concerns on Glassdoor and insider selling by CEO and officers undermine organizational health and management credibility at a critical growth inflection point [3]</w:t>
      </w:r>
    </w:p>
    <w:p>
      <w:pPr>
        <w:spacing w:before="40" w:after="40"/>
        <w:ind w:left="283"/>
      </w:pPr>
      <w:r>
        <w:rPr>
          <w:rFonts w:ascii="Calibri" w:hAnsi="Calibri"/>
          <w:b/>
          <w:color w:val="4A6B25"/>
          <w:sz w:val="20"/>
        </w:rPr>
        <w:t xml:space="preserve">3. </w:t>
      </w:r>
      <w:r>
        <w:rPr>
          <w:rFonts w:ascii="Calibri" w:hAnsi="Calibri"/>
          <w:b w:val="0"/>
          <w:color w:val="3A4A28"/>
          <w:sz w:val="20"/>
        </w:rPr>
        <w:t>Single-product concentration risk — Avance Nerve Graft drives the vast majority of revenue, and supply chain disruption for donated human nerve tissue or adverse clinical outcomes could be existential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Axogen's core business is deeply protected from AI disruption. The company processes donated human nerve tissue into surgical allografts through a proprietary, biologically complex manufacturing process that cannot be replicated or displaced by software [2]. Peripheral nerve repair is a hands-on surgical procedure requiring physical implantation by trained surgeons — AI cannot substitute for the product itself. The regulatory moat is substantial: Avance is the only FDA-approved processed nerve allograft, and the biologics approval pathway (BLA) creates multi-year barriers to entry [1]. Distribution relationships with surgeons and hospital systems add switching costs. The main AI-adjacent risk is that AI-assisted diagnostics could change referral patterns or that AI-guided surgical planning might eventually favor alternative repair strategies, but these are distant and speculative threats. AI Opportunity (0/1): Axogen has not deployed AI in any revenue-generating capacity, nor demonstrated meaningful AI integration in manufacturing, clinical decision support, or R&amp;D workflows.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Axogen Q1 2026 Earnings Release — $61.5M revenue, 26.6% YoY growth, raised FY2026 guidance to $270M+ revenue, free cash flow positive outlook, Cigna and Elevance coverage wins, April 28, 2026</w:t>
      </w:r>
    </w:p>
    <w:p>
      <w:pPr>
        <w:spacing w:before="20" w:after="20"/>
        <w:ind w:left="170"/>
      </w:pPr>
      <w:r>
        <w:rPr>
          <w:rFonts w:ascii="Calibri" w:hAnsi="Calibri"/>
          <w:b/>
          <w:color w:val="4A6B25"/>
          <w:sz w:val="15"/>
        </w:rPr>
        <w:t xml:space="preserve">2. </w:t>
      </w:r>
      <w:r>
        <w:rPr>
          <w:rFonts w:ascii="Calibri" w:hAnsi="Calibri"/>
          <w:b w:val="0"/>
          <w:color w:val="3A4A28"/>
          <w:sz w:val="17"/>
        </w:rPr>
        <w:t>Axogen corporate website and SEC filings — Avance Nerve Graft FDA-approved BLA, product portfolio (Axoguard, Avive), 622 employees, management team;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and insider transaction reports — toxic culture concerns, CEO Dale 25,000-share sale (January 2026), additional insider sales (March 2026); Glassdoor, Motley Fool,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AXGN — $43.74 price, 60.1x forward P/E, 8.4% D/E, -18.0% ROE, 26.6% revenue growth, 1.05M avg volume;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